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27BD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证券代码：</w:t>
      </w:r>
      <w:r>
        <w:rPr>
          <w:rFonts w:hint="eastAsia" w:asciiTheme="minorEastAsia" w:hAnsiTheme="minorEastAsia"/>
          <w:b/>
          <w:sz w:val="24"/>
          <w:szCs w:val="24"/>
        </w:rPr>
        <w:t>002902</w:t>
      </w:r>
      <w:r>
        <w:rPr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证券简称：铭普光磁</w:t>
      </w:r>
      <w:r>
        <w:rPr>
          <w:b/>
          <w:sz w:val="24"/>
          <w:szCs w:val="24"/>
        </w:rPr>
        <w:t xml:space="preserve">         </w:t>
      </w:r>
      <w:r>
        <w:rPr>
          <w:rFonts w:hint="eastAsia"/>
          <w:b/>
          <w:sz w:val="24"/>
          <w:szCs w:val="24"/>
        </w:rPr>
        <w:t>公告编号：</w:t>
      </w:r>
      <w:r>
        <w:rPr>
          <w:rFonts w:hint="eastAsia" w:asciiTheme="minorEastAsia" w:hAnsiTheme="minorEastAsia"/>
          <w:b/>
          <w:sz w:val="24"/>
          <w:szCs w:val="24"/>
        </w:rPr>
        <w:t>2025-007</w:t>
      </w:r>
    </w:p>
    <w:p w14:paraId="1D9ACC91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5E5E04A9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东莞铭普光磁股份有限公司</w:t>
      </w:r>
    </w:p>
    <w:p w14:paraId="6AB209E6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2024</w:t>
      </w:r>
      <w:r>
        <w:rPr>
          <w:rFonts w:asciiTheme="minorEastAsia" w:hAnsiTheme="minor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年度业绩预告</w:t>
      </w:r>
    </w:p>
    <w:p w14:paraId="63D4381B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EB20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0AD726">
            <w:pPr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56D56073"/>
    <w:p w14:paraId="7FEA28D0">
      <w:pPr>
        <w:tabs>
          <w:tab w:val="left" w:pos="3240"/>
        </w:tabs>
        <w:spacing w:before="156" w:beforeLines="50" w:after="156" w:afterLines="50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一、本期业绩预计情况</w:t>
      </w:r>
    </w:p>
    <w:p w14:paraId="72E7C444">
      <w:pPr>
        <w:tabs>
          <w:tab w:val="left" w:pos="3240"/>
        </w:tabs>
        <w:spacing w:before="156" w:beforeLines="50" w:after="156" w:afterLines="50"/>
        <w:ind w:firstLine="480" w:firstLineChars="200"/>
        <w:rPr>
          <w:rFonts w:ascii="Times New Roman" w:hAnsi="Times New Roman" w:cs="Times New Roman (正文 CS 字体)"/>
          <w:sz w:val="24"/>
        </w:rPr>
      </w:pPr>
      <w:r>
        <w:rPr>
          <w:rFonts w:ascii="Times New Roman" w:hAnsi="Times New Roman" w:cs="Times New Roman (正文 CS 字体)"/>
          <w:sz w:val="24"/>
        </w:rPr>
        <w:t>1</w:t>
      </w:r>
      <w:r>
        <w:rPr>
          <w:rFonts w:hint="eastAsia" w:ascii="Times New Roman" w:hAnsi="Times New Roman" w:cs="Times New Roman (正文 CS 字体)"/>
          <w:sz w:val="24"/>
        </w:rPr>
        <w:t>、业绩预告期间：</w:t>
      </w:r>
      <w:r>
        <w:rPr>
          <w:rFonts w:ascii="Times New Roman" w:hAnsi="Times New Roman" w:cs="Times New Roman (正文 CS 字体)"/>
          <w:sz w:val="24"/>
        </w:rPr>
        <w:t>2024</w:t>
      </w:r>
      <w:r>
        <w:rPr>
          <w:rFonts w:hint="eastAsia" w:ascii="Times New Roman" w:hAnsi="Times New Roman" w:cs="Times New Roman (正文 CS 字体)"/>
          <w:sz w:val="24"/>
        </w:rPr>
        <w:t>年</w:t>
      </w:r>
      <w:r>
        <w:rPr>
          <w:rFonts w:ascii="Times New Roman" w:hAnsi="Times New Roman" w:cs="Times New Roman (正文 CS 字体)"/>
          <w:sz w:val="24"/>
        </w:rPr>
        <w:t>1</w:t>
      </w:r>
      <w:r>
        <w:rPr>
          <w:rFonts w:hint="eastAsia" w:ascii="Times New Roman" w:hAnsi="Times New Roman" w:cs="Times New Roman (正文 CS 字体)"/>
          <w:sz w:val="24"/>
        </w:rPr>
        <w:t>月</w:t>
      </w:r>
      <w:r>
        <w:rPr>
          <w:rFonts w:ascii="Times New Roman" w:hAnsi="Times New Roman" w:cs="Times New Roman (正文 CS 字体)"/>
          <w:sz w:val="24"/>
        </w:rPr>
        <w:t>1</w:t>
      </w:r>
      <w:r>
        <w:rPr>
          <w:rFonts w:hint="eastAsia" w:ascii="Times New Roman" w:hAnsi="Times New Roman" w:cs="Times New Roman (正文 CS 字体)"/>
          <w:sz w:val="24"/>
        </w:rPr>
        <w:t>日</w:t>
      </w:r>
      <w:r>
        <w:rPr>
          <w:rFonts w:ascii="Times New Roman" w:hAnsi="Times New Roman" w:cs="Times New Roman (正文 CS 字体)"/>
          <w:sz w:val="24"/>
        </w:rPr>
        <w:t>-2024</w:t>
      </w:r>
      <w:r>
        <w:rPr>
          <w:rFonts w:hint="eastAsia" w:ascii="Times New Roman" w:hAnsi="Times New Roman" w:cs="Times New Roman (正文 CS 字体)"/>
          <w:sz w:val="24"/>
        </w:rPr>
        <w:t>年</w:t>
      </w:r>
      <w:r>
        <w:rPr>
          <w:rFonts w:ascii="Times New Roman" w:hAnsi="Times New Roman" w:cs="Times New Roman (正文 CS 字体)"/>
          <w:sz w:val="24"/>
        </w:rPr>
        <w:t>12</w:t>
      </w:r>
      <w:r>
        <w:rPr>
          <w:rFonts w:hint="eastAsia" w:ascii="Times New Roman" w:hAnsi="Times New Roman" w:cs="Times New Roman (正文 CS 字体)"/>
          <w:sz w:val="24"/>
        </w:rPr>
        <w:t>月</w:t>
      </w:r>
      <w:r>
        <w:rPr>
          <w:rFonts w:ascii="Times New Roman" w:hAnsi="Times New Roman" w:cs="Times New Roman (正文 CS 字体)"/>
          <w:sz w:val="24"/>
        </w:rPr>
        <w:t>31</w:t>
      </w:r>
      <w:r>
        <w:rPr>
          <w:rFonts w:hint="eastAsia" w:ascii="Times New Roman" w:hAnsi="Times New Roman" w:cs="Times New Roman (正文 CS 字体)"/>
          <w:sz w:val="24"/>
        </w:rPr>
        <w:t>日</w:t>
      </w:r>
    </w:p>
    <w:p w14:paraId="4262D2AA">
      <w:pPr>
        <w:tabs>
          <w:tab w:val="left" w:pos="3240"/>
        </w:tabs>
        <w:spacing w:before="156" w:beforeLines="50" w:after="156" w:afterLines="50"/>
        <w:ind w:firstLine="480" w:firstLineChars="200"/>
        <w:rPr>
          <w:rFonts w:ascii="Times New Roman" w:hAnsi="Times New Roman" w:cs="Times New Roman (正文 CS 字体)"/>
          <w:sz w:val="24"/>
        </w:rPr>
      </w:pPr>
      <w:r>
        <w:rPr>
          <w:rFonts w:ascii="Times New Roman" w:hAnsi="Times New Roman" w:cs="Times New Roman (正文 CS 字体)"/>
          <w:sz w:val="24"/>
        </w:rPr>
        <w:t>2</w:t>
      </w:r>
      <w:r>
        <w:rPr>
          <w:rFonts w:hint="eastAsia" w:ascii="Times New Roman" w:hAnsi="Times New Roman" w:cs="Times New Roman (正文 CS 字体)"/>
          <w:sz w:val="24"/>
        </w:rPr>
        <w:t>、业绩预告情况：预计净利润为负值</w:t>
      </w:r>
    </w:p>
    <w:tbl>
      <w:tblPr>
        <w:tblStyle w:val="6"/>
        <w:tblW w:w="5000" w:type="pct"/>
        <w:jc w:val="center"/>
        <w:tblBorders>
          <w:top w:val="single" w:color="010000" w:sz="12" w:space="0"/>
          <w:left w:val="single" w:color="010000" w:sz="12" w:space="0"/>
          <w:bottom w:val="single" w:color="010000" w:sz="12" w:space="0"/>
          <w:right w:val="single" w:color="010000" w:sz="12" w:space="0"/>
          <w:insideH w:val="single" w:color="010000" w:sz="4" w:space="0"/>
          <w:insideV w:val="single" w:color="01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3649"/>
        <w:gridCol w:w="2407"/>
      </w:tblGrid>
      <w:tr w14:paraId="5812D330">
        <w:tblPrEx>
          <w:tblBorders>
            <w:top w:val="single" w:color="010000" w:sz="12" w:space="0"/>
            <w:left w:val="single" w:color="010000" w:sz="12" w:space="0"/>
            <w:bottom w:val="single" w:color="010000" w:sz="12" w:space="0"/>
            <w:right w:val="single" w:color="010000" w:sz="12" w:space="0"/>
            <w:insideH w:val="single" w:color="010000" w:sz="4" w:space="0"/>
            <w:insideV w:val="single" w:color="01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447" w:type="pct"/>
            <w:tcBorders>
              <w:top w:val="single" w:color="010000" w:sz="12" w:space="0"/>
              <w:bottom w:val="single" w:color="010000" w:sz="4" w:space="0"/>
            </w:tcBorders>
            <w:shd w:val="clear" w:color="auto" w:fill="auto"/>
            <w:vAlign w:val="center"/>
          </w:tcPr>
          <w:p w14:paraId="59A71406">
            <w:pPr>
              <w:keepNext/>
              <w:ind w:firstLine="0" w:firstLineChars="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141" w:type="pct"/>
            <w:tcBorders>
              <w:top w:val="single" w:color="010000" w:sz="12" w:space="0"/>
              <w:bottom w:val="single" w:color="010000" w:sz="4" w:space="0"/>
            </w:tcBorders>
            <w:shd w:val="clear" w:color="auto" w:fill="auto"/>
            <w:vAlign w:val="center"/>
          </w:tcPr>
          <w:p w14:paraId="6130DA87">
            <w:pPr>
              <w:keepNext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本报告期</w:t>
            </w:r>
          </w:p>
        </w:tc>
        <w:tc>
          <w:tcPr>
            <w:tcW w:w="1412" w:type="pct"/>
            <w:tcBorders>
              <w:top w:val="single" w:color="010000" w:sz="12" w:space="0"/>
              <w:bottom w:val="single" w:color="010000" w:sz="4" w:space="0"/>
            </w:tcBorders>
            <w:shd w:val="clear" w:color="auto" w:fill="auto"/>
            <w:vAlign w:val="center"/>
          </w:tcPr>
          <w:p w14:paraId="0A94150A">
            <w:pPr>
              <w:keepNext/>
              <w:ind w:firstLine="0" w:firstLineChars="0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  <w:t>上年同期</w:t>
            </w:r>
          </w:p>
        </w:tc>
      </w:tr>
      <w:tr w14:paraId="09555FB9">
        <w:tblPrEx>
          <w:tblBorders>
            <w:top w:val="single" w:color="010000" w:sz="12" w:space="0"/>
            <w:left w:val="single" w:color="010000" w:sz="12" w:space="0"/>
            <w:bottom w:val="single" w:color="010000" w:sz="12" w:space="0"/>
            <w:right w:val="single" w:color="010000" w:sz="12" w:space="0"/>
            <w:insideH w:val="single" w:color="010000" w:sz="4" w:space="0"/>
            <w:insideV w:val="single" w:color="01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7" w:type="pct"/>
            <w:tcBorders>
              <w:top w:val="single" w:color="010000" w:sz="4" w:space="0"/>
            </w:tcBorders>
            <w:shd w:val="clear" w:color="auto" w:fill="auto"/>
            <w:vAlign w:val="center"/>
          </w:tcPr>
          <w:p w14:paraId="11AB66E3">
            <w:pPr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归属于上市公司股东的净利润</w:t>
            </w:r>
          </w:p>
        </w:tc>
        <w:tc>
          <w:tcPr>
            <w:tcW w:w="2141" w:type="pct"/>
            <w:tcBorders>
              <w:top w:val="single" w:color="010000" w:sz="4" w:space="0"/>
            </w:tcBorders>
            <w:shd w:val="clear" w:color="auto" w:fill="auto"/>
            <w:vAlign w:val="center"/>
          </w:tcPr>
          <w:p w14:paraId="4DC6EF02"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亏损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25,000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万元–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35,000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412" w:type="pct"/>
            <w:tcBorders>
              <w:top w:val="single" w:color="010000" w:sz="4" w:space="0"/>
            </w:tcBorders>
            <w:shd w:val="clear" w:color="auto" w:fill="auto"/>
            <w:vAlign w:val="center"/>
          </w:tcPr>
          <w:p w14:paraId="249AA26B"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亏损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:25,934.31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万元</w:t>
            </w:r>
          </w:p>
        </w:tc>
      </w:tr>
      <w:tr w14:paraId="251B74D5">
        <w:tblPrEx>
          <w:tblBorders>
            <w:top w:val="single" w:color="010000" w:sz="12" w:space="0"/>
            <w:left w:val="single" w:color="010000" w:sz="12" w:space="0"/>
            <w:bottom w:val="single" w:color="010000" w:sz="12" w:space="0"/>
            <w:right w:val="single" w:color="010000" w:sz="12" w:space="0"/>
            <w:insideH w:val="single" w:color="010000" w:sz="4" w:space="0"/>
            <w:insideV w:val="single" w:color="01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7" w:type="pct"/>
            <w:shd w:val="clear" w:color="auto" w:fill="auto"/>
            <w:vAlign w:val="center"/>
          </w:tcPr>
          <w:p w14:paraId="368D717D">
            <w:pPr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扣除非经常性损益后的净利润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288362FA"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亏损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:26,100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万元–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36,100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7E856F5E"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亏损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:27,307.07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万元</w:t>
            </w:r>
          </w:p>
        </w:tc>
      </w:tr>
      <w:tr w14:paraId="6DBB283E">
        <w:tblPrEx>
          <w:tblBorders>
            <w:top w:val="single" w:color="010000" w:sz="12" w:space="0"/>
            <w:left w:val="single" w:color="010000" w:sz="12" w:space="0"/>
            <w:bottom w:val="single" w:color="010000" w:sz="12" w:space="0"/>
            <w:right w:val="single" w:color="010000" w:sz="12" w:space="0"/>
            <w:insideH w:val="single" w:color="010000" w:sz="4" w:space="0"/>
            <w:insideV w:val="single" w:color="01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47" w:type="pct"/>
            <w:shd w:val="clear" w:color="auto" w:fill="auto"/>
            <w:vAlign w:val="center"/>
          </w:tcPr>
          <w:p w14:paraId="53AAC01C">
            <w:pPr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基本每股收益</w:t>
            </w:r>
          </w:p>
        </w:tc>
        <w:tc>
          <w:tcPr>
            <w:tcW w:w="2141" w:type="pct"/>
            <w:shd w:val="clear" w:color="auto" w:fill="auto"/>
            <w:vAlign w:val="center"/>
          </w:tcPr>
          <w:p w14:paraId="6C944C32"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亏损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:1.09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元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股–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1.52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元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股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40A9B044">
            <w:pPr>
              <w:jc w:val="left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亏损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:1.23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元</w:t>
            </w: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股</w:t>
            </w:r>
          </w:p>
        </w:tc>
      </w:tr>
    </w:tbl>
    <w:p w14:paraId="77372295">
      <w:pPr>
        <w:spacing w:line="360" w:lineRule="auto"/>
        <w:ind w:firstLine="630" w:firstLineChars="300"/>
        <w:contextualSpacing/>
      </w:pPr>
    </w:p>
    <w:p w14:paraId="1C95158D"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contextualSpacing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二、与会计师事务所沟通情况</w:t>
      </w:r>
    </w:p>
    <w:p w14:paraId="62248B0F">
      <w:pPr>
        <w:tabs>
          <w:tab w:val="left" w:pos="3240"/>
        </w:tabs>
        <w:spacing w:before="156" w:beforeLines="50" w:after="156" w:afterLines="50" w:line="360" w:lineRule="auto"/>
        <w:ind w:firstLine="480" w:firstLineChars="200"/>
        <w:contextualSpacing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本次业绩预告未经会计师事务所审计，系公司初步测算结果，但公司已就有关事项与年度审计会计师事务所进行了预沟通，公司与会计师事务所在业绩预告方面不存在分歧。</w:t>
      </w:r>
    </w:p>
    <w:p w14:paraId="1CEC585A"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contextualSpacing/>
        <w:rPr>
          <w:rFonts w:asciiTheme="minorEastAsia" w:hAnsiTheme="minorEastAsia"/>
          <w:b/>
          <w:sz w:val="24"/>
        </w:rPr>
      </w:pPr>
    </w:p>
    <w:p w14:paraId="0116B479">
      <w:pPr>
        <w:tabs>
          <w:tab w:val="left" w:pos="3240"/>
        </w:tabs>
        <w:spacing w:line="360" w:lineRule="auto"/>
        <w:ind w:firstLine="482" w:firstLineChars="200"/>
        <w:contextualSpacing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三、业绩变动原因说明</w:t>
      </w:r>
    </w:p>
    <w:p w14:paraId="197FE413">
      <w:pPr>
        <w:tabs>
          <w:tab w:val="left" w:pos="3240"/>
        </w:tabs>
        <w:spacing w:line="360" w:lineRule="auto"/>
        <w:ind w:firstLine="480" w:firstLineChars="200"/>
        <w:contextualSpacing/>
        <w:rPr>
          <w:rFonts w:ascii="Times New Roman" w:hAnsi="Times New Roman" w:eastAsiaTheme="majorEastAsia"/>
          <w:bCs/>
          <w:sz w:val="24"/>
        </w:rPr>
      </w:pPr>
      <w:r>
        <w:rPr>
          <w:rFonts w:hint="eastAsia" w:ascii="Times New Roman" w:hAnsi="Times New Roman" w:eastAsiaTheme="majorEastAsia"/>
          <w:bCs/>
          <w:sz w:val="24"/>
        </w:rPr>
        <w:t>报告期内，公司预计净利润为负值，主要原因如下：</w:t>
      </w:r>
      <w:r>
        <w:rPr>
          <w:rFonts w:ascii="Times New Roman" w:hAnsi="Times New Roman" w:eastAsiaTheme="majorEastAsia"/>
          <w:bCs/>
          <w:sz w:val="24"/>
        </w:rPr>
        <w:t xml:space="preserve"> </w:t>
      </w:r>
    </w:p>
    <w:p w14:paraId="21883B24">
      <w:pPr>
        <w:numPr>
          <w:ilvl w:val="255"/>
          <w:numId w:val="0"/>
        </w:numPr>
        <w:tabs>
          <w:tab w:val="left" w:pos="3240"/>
        </w:tabs>
        <w:spacing w:before="156" w:beforeLines="50" w:after="156" w:afterLines="50" w:line="360" w:lineRule="auto"/>
        <w:ind w:firstLine="480" w:firstLineChars="200"/>
        <w:contextualSpacing/>
        <w:rPr>
          <w:rFonts w:ascii="Times New Roman" w:hAnsi="Times New Roman" w:eastAsiaTheme="majorEastAsia"/>
          <w:bCs/>
          <w:sz w:val="24"/>
        </w:rPr>
      </w:pPr>
      <w:r>
        <w:rPr>
          <w:rFonts w:ascii="Times New Roman" w:hAnsi="Times New Roman" w:eastAsiaTheme="majorEastAsia"/>
          <w:bCs/>
          <w:sz w:val="24"/>
        </w:rPr>
        <w:t>1</w:t>
      </w:r>
      <w:r>
        <w:rPr>
          <w:rFonts w:hint="eastAsia" w:ascii="Times New Roman" w:hAnsi="Times New Roman" w:eastAsiaTheme="majorEastAsia"/>
          <w:bCs/>
          <w:sz w:val="24"/>
        </w:rPr>
        <w:t>、公司</w:t>
      </w:r>
      <w:r>
        <w:rPr>
          <w:rFonts w:ascii="Times New Roman" w:hAnsi="Times New Roman" w:eastAsiaTheme="majorEastAsia"/>
          <w:bCs/>
          <w:sz w:val="24"/>
        </w:rPr>
        <w:t>ToC</w:t>
      </w:r>
      <w:r>
        <w:rPr>
          <w:rFonts w:hint="eastAsia" w:ascii="Times New Roman" w:hAnsi="Times New Roman" w:eastAsiaTheme="majorEastAsia"/>
          <w:bCs/>
          <w:sz w:val="24"/>
        </w:rPr>
        <w:t>业务属于新消费、可选消费，主打产品</w:t>
      </w:r>
      <w:r>
        <w:rPr>
          <w:rFonts w:hint="eastAsia" w:ascii="Times New Roman" w:hAnsi="Times New Roman" w:eastAsiaTheme="majorEastAsia"/>
          <w:bCs/>
          <w:sz w:val="24"/>
          <w:lang w:val="en-US" w:eastAsia="zh-CN"/>
        </w:rPr>
        <w:t>市场渗透率有待提升</w:t>
      </w:r>
      <w:r>
        <w:rPr>
          <w:rFonts w:hint="eastAsia" w:ascii="Times New Roman" w:hAnsi="Times New Roman" w:eastAsiaTheme="majorEastAsia"/>
          <w:bCs/>
          <w:sz w:val="24"/>
          <w:lang w:eastAsia="zh-CN"/>
        </w:rPr>
        <w:t>，</w:t>
      </w:r>
      <w:r>
        <w:rPr>
          <w:rFonts w:hint="eastAsia" w:ascii="Times New Roman" w:hAnsi="Times New Roman" w:eastAsiaTheme="majorEastAsia"/>
          <w:bCs/>
          <w:sz w:val="24"/>
        </w:rPr>
        <w:t>在行业发展的这个阶段</w:t>
      </w:r>
      <w:r>
        <w:rPr>
          <w:rFonts w:hint="eastAsia" w:ascii="Times New Roman" w:hAnsi="Times New Roman" w:eastAsiaTheme="majorEastAsia"/>
          <w:bCs/>
          <w:sz w:val="24"/>
          <w:lang w:eastAsia="zh-CN"/>
        </w:rPr>
        <w:t>，</w:t>
      </w:r>
      <w:r>
        <w:rPr>
          <w:rFonts w:hint="eastAsia" w:ascii="Times New Roman" w:hAnsi="Times New Roman" w:eastAsiaTheme="majorEastAsia"/>
          <w:bCs/>
          <w:sz w:val="24"/>
        </w:rPr>
        <w:t>最佳的战略在于消费者认知率先植入</w:t>
      </w:r>
      <w:r>
        <w:rPr>
          <w:rFonts w:hint="eastAsia" w:ascii="Times New Roman" w:hAnsi="Times New Roman" w:eastAsiaTheme="majorEastAsia"/>
          <w:bCs/>
          <w:sz w:val="24"/>
          <w:lang w:eastAsia="zh-CN"/>
        </w:rPr>
        <w:t>，</w:t>
      </w:r>
      <w:r>
        <w:rPr>
          <w:rFonts w:hint="eastAsia" w:ascii="Times New Roman" w:hAnsi="Times New Roman" w:eastAsiaTheme="majorEastAsia"/>
          <w:bCs/>
          <w:sz w:val="24"/>
        </w:rPr>
        <w:t>进行价值占位，并建立品牌和渠道，所以，公司针对</w:t>
      </w:r>
      <w:r>
        <w:rPr>
          <w:rFonts w:ascii="Times New Roman" w:hAnsi="Times New Roman" w:eastAsiaTheme="majorEastAsia"/>
          <w:bCs/>
          <w:sz w:val="24"/>
        </w:rPr>
        <w:t>ToC</w:t>
      </w:r>
      <w:r>
        <w:rPr>
          <w:rFonts w:hint="eastAsia" w:ascii="Times New Roman" w:hAnsi="Times New Roman" w:eastAsiaTheme="majorEastAsia"/>
          <w:bCs/>
          <w:sz w:val="24"/>
        </w:rPr>
        <w:t>业务加大了营销等费用投放，目标为扩大消费市场并增加市场份额。但是，新兴产品在发展前期，面临产品营销成本高，广告费用大，但销量小成本高的问题，故造成了此板块业务属于亏损状态。</w:t>
      </w:r>
      <w:r>
        <w:rPr>
          <w:rFonts w:ascii="Times New Roman" w:hAnsi="Times New Roman" w:eastAsiaTheme="majorEastAsia"/>
          <w:bCs/>
          <w:sz w:val="24"/>
        </w:rPr>
        <w:t xml:space="preserve"> </w:t>
      </w:r>
    </w:p>
    <w:p w14:paraId="04A110A8">
      <w:pPr>
        <w:numPr>
          <w:ilvl w:val="255"/>
          <w:numId w:val="0"/>
        </w:numPr>
        <w:tabs>
          <w:tab w:val="left" w:pos="3240"/>
        </w:tabs>
        <w:spacing w:before="156" w:beforeLines="50" w:after="156" w:afterLines="50" w:line="360" w:lineRule="auto"/>
        <w:ind w:firstLine="480" w:firstLineChars="200"/>
        <w:contextualSpacing/>
        <w:rPr>
          <w:rFonts w:ascii="Times New Roman" w:hAnsi="Times New Roman" w:eastAsiaTheme="majorEastAsia"/>
          <w:bCs/>
          <w:sz w:val="24"/>
        </w:rPr>
      </w:pPr>
      <w:r>
        <w:rPr>
          <w:rFonts w:ascii="Times New Roman" w:hAnsi="Times New Roman" w:eastAsiaTheme="majorEastAsia"/>
          <w:bCs/>
          <w:sz w:val="24"/>
        </w:rPr>
        <w:t>2</w:t>
      </w:r>
      <w:r>
        <w:rPr>
          <w:rFonts w:hint="eastAsia" w:ascii="Times New Roman" w:hAnsi="Times New Roman" w:eastAsiaTheme="majorEastAsia"/>
          <w:bCs/>
          <w:sz w:val="24"/>
        </w:rPr>
        <w:t>、报告期内，行业需求不断变化，部分订单阶段性减少，导致营业收入有所</w:t>
      </w:r>
      <w:r>
        <w:rPr>
          <w:rFonts w:hint="eastAsia" w:ascii="Times New Roman" w:hAnsi="Times New Roman" w:eastAsiaTheme="majorEastAsia"/>
          <w:bCs/>
          <w:sz w:val="24"/>
          <w:lang w:val="en-US" w:eastAsia="zh-CN"/>
        </w:rPr>
        <w:t>减少</w:t>
      </w:r>
      <w:r>
        <w:rPr>
          <w:rFonts w:hint="eastAsia" w:ascii="Times New Roman" w:hAnsi="Times New Roman" w:eastAsiaTheme="majorEastAsia"/>
          <w:bCs/>
          <w:sz w:val="24"/>
        </w:rPr>
        <w:t>。同时，</w:t>
      </w:r>
      <w:r>
        <w:rPr>
          <w:rFonts w:hint="eastAsia" w:ascii="Times New Roman" w:hAnsi="Times New Roman" w:eastAsiaTheme="majorEastAsia"/>
          <w:bCs/>
          <w:sz w:val="24"/>
          <w:lang w:val="en-US" w:eastAsia="zh-CN"/>
        </w:rPr>
        <w:t>为了提升市场竞争力</w:t>
      </w:r>
      <w:r>
        <w:rPr>
          <w:rFonts w:hint="eastAsia" w:ascii="Times New Roman" w:hAnsi="Times New Roman" w:eastAsiaTheme="majorEastAsia"/>
          <w:bCs/>
          <w:sz w:val="24"/>
        </w:rPr>
        <w:t>，</w:t>
      </w:r>
      <w:r>
        <w:rPr>
          <w:rFonts w:hint="eastAsia" w:ascii="Times New Roman" w:hAnsi="Times New Roman" w:eastAsiaTheme="majorEastAsia"/>
          <w:bCs/>
          <w:sz w:val="24"/>
          <w:lang w:val="en-US" w:eastAsia="zh-CN"/>
        </w:rPr>
        <w:t>阶段性降价策略导致部分产品</w:t>
      </w:r>
      <w:r>
        <w:rPr>
          <w:rFonts w:hint="eastAsia" w:ascii="Times New Roman" w:hAnsi="Times New Roman" w:eastAsiaTheme="majorEastAsia"/>
          <w:bCs/>
          <w:sz w:val="24"/>
        </w:rPr>
        <w:t>毛利率下滑。而公司新引入的产品尚未产生规模效应，这在一定程度上对公司盈利能力造成了影响。</w:t>
      </w:r>
    </w:p>
    <w:p w14:paraId="620AE815">
      <w:pPr>
        <w:numPr>
          <w:ilvl w:val="255"/>
          <w:numId w:val="0"/>
        </w:numPr>
        <w:tabs>
          <w:tab w:val="left" w:pos="3240"/>
        </w:tabs>
        <w:spacing w:before="156" w:beforeLines="50" w:after="156" w:afterLines="50" w:line="360" w:lineRule="auto"/>
        <w:ind w:firstLine="480" w:firstLineChars="200"/>
        <w:contextualSpacing/>
        <w:rPr>
          <w:rFonts w:ascii="Times New Roman" w:hAnsi="Times New Roman" w:eastAsiaTheme="majorEastAsia"/>
          <w:bCs/>
          <w:sz w:val="24"/>
        </w:rPr>
      </w:pPr>
      <w:r>
        <w:rPr>
          <w:rFonts w:ascii="Times New Roman" w:hAnsi="Times New Roman" w:eastAsiaTheme="majorEastAsia"/>
          <w:bCs/>
          <w:sz w:val="24"/>
        </w:rPr>
        <w:t>3</w:t>
      </w:r>
      <w:r>
        <w:rPr>
          <w:rFonts w:hint="eastAsia" w:ascii="Times New Roman" w:hAnsi="Times New Roman" w:eastAsiaTheme="majorEastAsia"/>
          <w:bCs/>
          <w:sz w:val="24"/>
        </w:rPr>
        <w:t>、公司根据企业会计准则及公司会计政策等相关规定，充分考虑行业发展趋势以及设备更新迭代的实际情况，基于谨慎性原则，对各类资产进行了全面检查和减值测试。公司聘请专业评估机构对固定资产进行了</w:t>
      </w:r>
      <w:bookmarkStart w:id="0" w:name="_GoBack"/>
      <w:bookmarkEnd w:id="0"/>
      <w:r>
        <w:rPr>
          <w:rFonts w:hint="eastAsia" w:ascii="Times New Roman" w:hAnsi="Times New Roman" w:eastAsiaTheme="majorEastAsia"/>
          <w:bCs/>
          <w:sz w:val="24"/>
        </w:rPr>
        <w:t>减值测试，并根据企业会计准则相关要求计提了资产减值准备，由此导致</w:t>
      </w:r>
      <w:r>
        <w:rPr>
          <w:rFonts w:ascii="Times New Roman" w:hAnsi="Times New Roman" w:eastAsiaTheme="majorEastAsia"/>
          <w:bCs/>
          <w:sz w:val="24"/>
        </w:rPr>
        <w:t>2024</w:t>
      </w:r>
      <w:r>
        <w:rPr>
          <w:rFonts w:hint="eastAsia" w:ascii="Times New Roman" w:hAnsi="Times New Roman" w:eastAsiaTheme="majorEastAsia"/>
          <w:bCs/>
          <w:sz w:val="24"/>
        </w:rPr>
        <w:t>年度公司亏损同比扩大，造成报告期净利润减少。</w:t>
      </w:r>
      <w:r>
        <w:rPr>
          <w:rFonts w:ascii="Times New Roman" w:hAnsi="Times New Roman" w:cs="宋体" w:eastAsiaTheme="majorEastAsia"/>
          <w:sz w:val="24"/>
          <w:szCs w:val="24"/>
        </w:rPr>
        <w:t>具体</w:t>
      </w:r>
      <w:r>
        <w:rPr>
          <w:rFonts w:hint="eastAsia" w:ascii="Times New Roman" w:hAnsi="Times New Roman" w:cs="宋体" w:eastAsiaTheme="majorEastAsia"/>
          <w:sz w:val="24"/>
          <w:szCs w:val="24"/>
        </w:rPr>
        <w:t>减值情况</w:t>
      </w:r>
      <w:r>
        <w:rPr>
          <w:rFonts w:ascii="Times New Roman" w:hAnsi="Times New Roman" w:cs="宋体" w:eastAsiaTheme="majorEastAsia"/>
          <w:sz w:val="24"/>
          <w:szCs w:val="24"/>
        </w:rPr>
        <w:t>详见公司同日在巨潮资讯网（http://www.cninfo.com.cn）上披露的相关公告。</w:t>
      </w:r>
    </w:p>
    <w:p w14:paraId="03940247">
      <w:pPr>
        <w:numPr>
          <w:ilvl w:val="255"/>
          <w:numId w:val="0"/>
        </w:numPr>
        <w:tabs>
          <w:tab w:val="left" w:pos="3240"/>
        </w:tabs>
        <w:spacing w:before="156" w:beforeLines="50" w:after="156" w:afterLines="50" w:line="360" w:lineRule="auto"/>
        <w:ind w:firstLine="480" w:firstLineChars="200"/>
        <w:contextualSpacing/>
        <w:rPr>
          <w:rFonts w:asciiTheme="minorEastAsia" w:hAnsiTheme="minorEastAsia"/>
          <w:bCs/>
          <w:sz w:val="24"/>
        </w:rPr>
      </w:pPr>
      <w:r>
        <w:rPr>
          <w:rFonts w:ascii="Times New Roman" w:hAnsi="Times New Roman" w:eastAsiaTheme="majorEastAsia"/>
          <w:bCs/>
          <w:sz w:val="24"/>
        </w:rPr>
        <w:t>4</w:t>
      </w:r>
      <w:r>
        <w:rPr>
          <w:rFonts w:hint="eastAsia" w:ascii="Times New Roman" w:hAnsi="Times New Roman" w:eastAsiaTheme="majorEastAsia"/>
          <w:bCs/>
          <w:sz w:val="24"/>
        </w:rPr>
        <w:t>、基于谨慎性原则，公司拟对以前年度确认的递延所得税资产</w:t>
      </w:r>
      <w:r>
        <w:rPr>
          <w:rFonts w:hint="eastAsia" w:ascii="Times New Roman" w:hAnsi="Times New Roman" w:eastAsiaTheme="majorEastAsia"/>
          <w:bCs/>
          <w:sz w:val="24"/>
          <w:lang w:val="en-US" w:eastAsia="zh-CN"/>
        </w:rPr>
        <w:t>约为</w:t>
      </w:r>
      <w:r>
        <w:rPr>
          <w:rFonts w:asciiTheme="minorEastAsia" w:hAnsiTheme="minorEastAsia"/>
          <w:bCs/>
          <w:sz w:val="24"/>
        </w:rPr>
        <w:t>2</w:t>
      </w:r>
      <w:r>
        <w:rPr>
          <w:rFonts w:hint="eastAsia" w:asciiTheme="minorEastAsia" w:hAnsiTheme="minorEastAsia"/>
          <w:bCs/>
          <w:sz w:val="24"/>
          <w:lang w:val="en-US" w:eastAsia="zh-CN"/>
        </w:rPr>
        <w:t>,</w:t>
      </w:r>
      <w:r>
        <w:rPr>
          <w:rFonts w:asciiTheme="minorEastAsia" w:hAnsiTheme="minorEastAsia"/>
          <w:bCs/>
          <w:sz w:val="24"/>
        </w:rPr>
        <w:t>051万元</w:t>
      </w:r>
      <w:r>
        <w:rPr>
          <w:rFonts w:hint="eastAsia" w:ascii="Times New Roman" w:hAnsi="Times New Roman" w:eastAsiaTheme="majorEastAsia"/>
          <w:bCs/>
          <w:sz w:val="24"/>
        </w:rPr>
        <w:t>予以冲回。</w:t>
      </w:r>
    </w:p>
    <w:p w14:paraId="484F7114">
      <w:pPr>
        <w:tabs>
          <w:tab w:val="left" w:pos="3240"/>
        </w:tabs>
        <w:spacing w:line="360" w:lineRule="auto"/>
        <w:ind w:firstLine="480" w:firstLineChars="200"/>
        <w:contextualSpacing/>
        <w:rPr>
          <w:rFonts w:asciiTheme="minorEastAsia" w:hAnsiTheme="minorEastAsia"/>
          <w:bCs/>
          <w:sz w:val="24"/>
        </w:rPr>
      </w:pPr>
    </w:p>
    <w:p w14:paraId="43D5FBB2">
      <w:pPr>
        <w:tabs>
          <w:tab w:val="left" w:pos="3240"/>
        </w:tabs>
        <w:spacing w:before="156" w:beforeLines="50" w:after="156" w:afterLines="50" w:line="360" w:lineRule="auto"/>
        <w:ind w:firstLine="482" w:firstLineChars="200"/>
        <w:contextualSpacing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</w:t>
      </w:r>
      <w:r>
        <w:rPr>
          <w:rFonts w:asciiTheme="minorEastAsia" w:hAnsiTheme="minorEastAsia"/>
          <w:b/>
          <w:sz w:val="24"/>
        </w:rPr>
        <w:t>其他相关说明</w:t>
      </w:r>
    </w:p>
    <w:p w14:paraId="008633F7">
      <w:pPr>
        <w:tabs>
          <w:tab w:val="left" w:pos="3240"/>
        </w:tabs>
        <w:spacing w:before="156" w:beforeLines="50" w:after="156" w:afterLines="50" w:line="360" w:lineRule="auto"/>
        <w:ind w:firstLine="480" w:firstLineChars="200"/>
        <w:contextualSpacing/>
        <w:rPr>
          <w:rFonts w:ascii="Times New Roman" w:hAnsi="Times New Roman" w:eastAsiaTheme="majorEastAsia"/>
          <w:bCs/>
          <w:sz w:val="24"/>
        </w:rPr>
      </w:pPr>
      <w:r>
        <w:rPr>
          <w:rFonts w:hint="eastAsia" w:asciiTheme="minorEastAsia" w:hAnsiTheme="minorEastAsia"/>
          <w:sz w:val="24"/>
        </w:rPr>
        <w:t>本</w:t>
      </w:r>
      <w:r>
        <w:rPr>
          <w:rFonts w:hint="eastAsia" w:ascii="Times New Roman" w:hAnsi="Times New Roman" w:eastAsiaTheme="majorEastAsia"/>
          <w:bCs/>
          <w:sz w:val="24"/>
        </w:rPr>
        <w:t>次业绩预告是初步测算的结果，具体数据将在本公司202</w:t>
      </w:r>
      <w:r>
        <w:rPr>
          <w:rFonts w:ascii="Times New Roman" w:hAnsi="Times New Roman" w:eastAsiaTheme="majorEastAsia"/>
          <w:bCs/>
          <w:sz w:val="24"/>
        </w:rPr>
        <w:t>4</w:t>
      </w:r>
      <w:r>
        <w:rPr>
          <w:rFonts w:hint="eastAsia" w:ascii="Times New Roman" w:hAnsi="Times New Roman" w:eastAsiaTheme="majorEastAsia"/>
          <w:bCs/>
          <w:sz w:val="24"/>
        </w:rPr>
        <w:t>年年度报告中详细披露，敬请广大投资者谨慎决策，注意投资风险。</w:t>
      </w:r>
    </w:p>
    <w:p w14:paraId="21584954">
      <w:pPr>
        <w:tabs>
          <w:tab w:val="left" w:pos="3240"/>
        </w:tabs>
        <w:spacing w:before="156" w:beforeLines="50" w:after="156" w:afterLines="50" w:line="360" w:lineRule="auto"/>
        <w:ind w:firstLine="480" w:firstLineChars="200"/>
        <w:contextualSpacing/>
        <w:rPr>
          <w:rFonts w:asciiTheme="minorEastAsia" w:hAnsiTheme="minorEastAsia"/>
          <w:sz w:val="24"/>
        </w:rPr>
      </w:pPr>
    </w:p>
    <w:p w14:paraId="6A8BB254">
      <w:pPr>
        <w:tabs>
          <w:tab w:val="left" w:pos="3240"/>
        </w:tabs>
        <w:spacing w:before="156" w:beforeLines="50" w:after="156" w:afterLines="50" w:line="360" w:lineRule="auto"/>
        <w:ind w:firstLine="480" w:firstLineChars="200"/>
        <w:contextualSpacing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特此公告。</w:t>
      </w:r>
    </w:p>
    <w:p w14:paraId="32E25C5B">
      <w:pPr>
        <w:spacing w:line="360" w:lineRule="auto"/>
        <w:contextualSpacing/>
      </w:pPr>
    </w:p>
    <w:p w14:paraId="0041151B">
      <w:pPr>
        <w:spacing w:line="360" w:lineRule="auto"/>
        <w:contextualSpacing/>
      </w:pPr>
    </w:p>
    <w:p w14:paraId="7EEE8DA6">
      <w:pPr>
        <w:adjustRightInd w:val="0"/>
        <w:snapToGrid w:val="0"/>
        <w:spacing w:line="360" w:lineRule="auto"/>
        <w:ind w:firstLine="0" w:firstLineChars="0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东莞铭普光磁股份有限公司</w:t>
      </w:r>
    </w:p>
    <w:p w14:paraId="7A9F3ED9">
      <w:pPr>
        <w:adjustRightInd w:val="0"/>
        <w:snapToGrid w:val="0"/>
        <w:spacing w:line="360" w:lineRule="auto"/>
        <w:ind w:firstLine="6498" w:firstLineChars="2697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董事会</w:t>
      </w:r>
    </w:p>
    <w:p w14:paraId="27AC30B5">
      <w:pPr>
        <w:adjustRightInd w:val="0"/>
        <w:snapToGrid w:val="0"/>
        <w:spacing w:line="360" w:lineRule="auto"/>
        <w:ind w:firstLine="5903" w:firstLineChars="2450"/>
      </w:pPr>
      <w:r>
        <w:rPr>
          <w:rFonts w:hint="eastAsia" w:asciiTheme="minorEastAsia" w:hAnsiTheme="minorEastAsia"/>
          <w:b/>
          <w:sz w:val="24"/>
          <w:szCs w:val="24"/>
        </w:rPr>
        <w:t>2025年1月18日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3899957"/>
    </w:sdtPr>
    <w:sdtContent>
      <w:p w14:paraId="7EFCA44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36453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yYTg3NWQwNjJjNTRlMjI0NzU4YzM5YWIyMDkxZjYifQ=="/>
  </w:docVars>
  <w:rsids>
    <w:rsidRoot w:val="00C87D6A"/>
    <w:rsid w:val="00003D12"/>
    <w:rsid w:val="00005D5E"/>
    <w:rsid w:val="00015485"/>
    <w:rsid w:val="0005348F"/>
    <w:rsid w:val="000562DB"/>
    <w:rsid w:val="00097965"/>
    <w:rsid w:val="001047E8"/>
    <w:rsid w:val="001775F4"/>
    <w:rsid w:val="00180DD8"/>
    <w:rsid w:val="00195C42"/>
    <w:rsid w:val="001B3A65"/>
    <w:rsid w:val="001D38F3"/>
    <w:rsid w:val="00203491"/>
    <w:rsid w:val="00261DF7"/>
    <w:rsid w:val="002A17BC"/>
    <w:rsid w:val="002A2CF8"/>
    <w:rsid w:val="002B5DEA"/>
    <w:rsid w:val="002C4DB8"/>
    <w:rsid w:val="002C7FEF"/>
    <w:rsid w:val="002E267C"/>
    <w:rsid w:val="002F779F"/>
    <w:rsid w:val="003776CA"/>
    <w:rsid w:val="00396887"/>
    <w:rsid w:val="003A0F52"/>
    <w:rsid w:val="00421E9C"/>
    <w:rsid w:val="00452ED6"/>
    <w:rsid w:val="004774C5"/>
    <w:rsid w:val="004779B2"/>
    <w:rsid w:val="00484C76"/>
    <w:rsid w:val="00485CFE"/>
    <w:rsid w:val="0049572A"/>
    <w:rsid w:val="004C2F3D"/>
    <w:rsid w:val="00524DE6"/>
    <w:rsid w:val="00546624"/>
    <w:rsid w:val="005E7910"/>
    <w:rsid w:val="005F37D2"/>
    <w:rsid w:val="00656B97"/>
    <w:rsid w:val="00685F05"/>
    <w:rsid w:val="00695113"/>
    <w:rsid w:val="006952E1"/>
    <w:rsid w:val="006C59DC"/>
    <w:rsid w:val="00714265"/>
    <w:rsid w:val="007B76D5"/>
    <w:rsid w:val="007D0C60"/>
    <w:rsid w:val="008109CF"/>
    <w:rsid w:val="0082674F"/>
    <w:rsid w:val="00826F3D"/>
    <w:rsid w:val="0084799F"/>
    <w:rsid w:val="00855CE3"/>
    <w:rsid w:val="00860ADF"/>
    <w:rsid w:val="00866D95"/>
    <w:rsid w:val="00883F2D"/>
    <w:rsid w:val="008B3900"/>
    <w:rsid w:val="00915F22"/>
    <w:rsid w:val="009261A9"/>
    <w:rsid w:val="00937097"/>
    <w:rsid w:val="009758D3"/>
    <w:rsid w:val="009D6FCF"/>
    <w:rsid w:val="00A16FDF"/>
    <w:rsid w:val="00A37FDC"/>
    <w:rsid w:val="00A523BE"/>
    <w:rsid w:val="00AE0CC8"/>
    <w:rsid w:val="00B06F32"/>
    <w:rsid w:val="00B502DD"/>
    <w:rsid w:val="00B845AE"/>
    <w:rsid w:val="00B9181C"/>
    <w:rsid w:val="00BB2851"/>
    <w:rsid w:val="00BC1BA8"/>
    <w:rsid w:val="00BD1ED1"/>
    <w:rsid w:val="00C25DD8"/>
    <w:rsid w:val="00C446F3"/>
    <w:rsid w:val="00C81B3D"/>
    <w:rsid w:val="00C87D6A"/>
    <w:rsid w:val="00CF39F8"/>
    <w:rsid w:val="00D11A76"/>
    <w:rsid w:val="00D13148"/>
    <w:rsid w:val="00D66F77"/>
    <w:rsid w:val="00D80047"/>
    <w:rsid w:val="00D84123"/>
    <w:rsid w:val="00DB594F"/>
    <w:rsid w:val="00DF1CF9"/>
    <w:rsid w:val="00DF2025"/>
    <w:rsid w:val="00E30060"/>
    <w:rsid w:val="00E35281"/>
    <w:rsid w:val="00EB51A3"/>
    <w:rsid w:val="00EB5FF3"/>
    <w:rsid w:val="00EB7B12"/>
    <w:rsid w:val="00EC6698"/>
    <w:rsid w:val="00EF000C"/>
    <w:rsid w:val="00F03D28"/>
    <w:rsid w:val="00F21294"/>
    <w:rsid w:val="00F2335D"/>
    <w:rsid w:val="00F44D9A"/>
    <w:rsid w:val="00F854AB"/>
    <w:rsid w:val="00F87EEB"/>
    <w:rsid w:val="00FC5C67"/>
    <w:rsid w:val="02F1334D"/>
    <w:rsid w:val="039B1313"/>
    <w:rsid w:val="06B60051"/>
    <w:rsid w:val="06BC2BCE"/>
    <w:rsid w:val="087D3A94"/>
    <w:rsid w:val="089B67BD"/>
    <w:rsid w:val="0C8E47F2"/>
    <w:rsid w:val="0E274886"/>
    <w:rsid w:val="0E3E0404"/>
    <w:rsid w:val="113948AE"/>
    <w:rsid w:val="12724BE2"/>
    <w:rsid w:val="12BF5678"/>
    <w:rsid w:val="138547FE"/>
    <w:rsid w:val="138C54D3"/>
    <w:rsid w:val="139879D4"/>
    <w:rsid w:val="14400AFF"/>
    <w:rsid w:val="16313671"/>
    <w:rsid w:val="16D72F09"/>
    <w:rsid w:val="17371AEF"/>
    <w:rsid w:val="181635BD"/>
    <w:rsid w:val="187360ED"/>
    <w:rsid w:val="19EC2827"/>
    <w:rsid w:val="1B7156DA"/>
    <w:rsid w:val="1BC453C4"/>
    <w:rsid w:val="1C4849EE"/>
    <w:rsid w:val="1D507571"/>
    <w:rsid w:val="1E4850BC"/>
    <w:rsid w:val="1EFD1033"/>
    <w:rsid w:val="210743EB"/>
    <w:rsid w:val="215355EC"/>
    <w:rsid w:val="22405E06"/>
    <w:rsid w:val="22CD38C0"/>
    <w:rsid w:val="29AF73CD"/>
    <w:rsid w:val="2A88644C"/>
    <w:rsid w:val="2B870602"/>
    <w:rsid w:val="2BDD0222"/>
    <w:rsid w:val="2BFF63EA"/>
    <w:rsid w:val="2C620978"/>
    <w:rsid w:val="2DD66CA6"/>
    <w:rsid w:val="2E8370D2"/>
    <w:rsid w:val="2FEF7654"/>
    <w:rsid w:val="32055852"/>
    <w:rsid w:val="32EB3B6C"/>
    <w:rsid w:val="33B66F95"/>
    <w:rsid w:val="33B95A18"/>
    <w:rsid w:val="34655258"/>
    <w:rsid w:val="35551BD6"/>
    <w:rsid w:val="36656148"/>
    <w:rsid w:val="36A51755"/>
    <w:rsid w:val="36D6068F"/>
    <w:rsid w:val="38E52E0C"/>
    <w:rsid w:val="3A5B15D7"/>
    <w:rsid w:val="3A654204"/>
    <w:rsid w:val="3BAD5B29"/>
    <w:rsid w:val="3C4E6B41"/>
    <w:rsid w:val="3C687483"/>
    <w:rsid w:val="3ED10E20"/>
    <w:rsid w:val="3EF17DB9"/>
    <w:rsid w:val="40FA31CC"/>
    <w:rsid w:val="41674E84"/>
    <w:rsid w:val="41C31E44"/>
    <w:rsid w:val="42611755"/>
    <w:rsid w:val="43714237"/>
    <w:rsid w:val="449F5C35"/>
    <w:rsid w:val="450B48D7"/>
    <w:rsid w:val="45CF4C28"/>
    <w:rsid w:val="46C86ED3"/>
    <w:rsid w:val="47980461"/>
    <w:rsid w:val="47BF3F4C"/>
    <w:rsid w:val="47E57BA3"/>
    <w:rsid w:val="491017DF"/>
    <w:rsid w:val="4A3724C0"/>
    <w:rsid w:val="4B26522A"/>
    <w:rsid w:val="4B985ABC"/>
    <w:rsid w:val="4C9D30C1"/>
    <w:rsid w:val="4DCC33BD"/>
    <w:rsid w:val="519064CE"/>
    <w:rsid w:val="53BF2246"/>
    <w:rsid w:val="57B1677A"/>
    <w:rsid w:val="5C2B04AE"/>
    <w:rsid w:val="5C3B5923"/>
    <w:rsid w:val="5D65785E"/>
    <w:rsid w:val="5D9A56C3"/>
    <w:rsid w:val="5DA86032"/>
    <w:rsid w:val="60576C2B"/>
    <w:rsid w:val="63EB6C79"/>
    <w:rsid w:val="644F0FB6"/>
    <w:rsid w:val="66C11F8D"/>
    <w:rsid w:val="674E7D22"/>
    <w:rsid w:val="67964D29"/>
    <w:rsid w:val="69126A56"/>
    <w:rsid w:val="6982214C"/>
    <w:rsid w:val="698B6277"/>
    <w:rsid w:val="6B1C1389"/>
    <w:rsid w:val="6B506375"/>
    <w:rsid w:val="6BE22AE6"/>
    <w:rsid w:val="6C6E6041"/>
    <w:rsid w:val="6E1036FF"/>
    <w:rsid w:val="7155404A"/>
    <w:rsid w:val="723E1712"/>
    <w:rsid w:val="758E6995"/>
    <w:rsid w:val="75956AE2"/>
    <w:rsid w:val="75E654F2"/>
    <w:rsid w:val="789A330D"/>
    <w:rsid w:val="79440EAD"/>
    <w:rsid w:val="79D86D8A"/>
    <w:rsid w:val="7A205476"/>
    <w:rsid w:val="7BEF7F37"/>
    <w:rsid w:val="7C6B5002"/>
    <w:rsid w:val="7CC0084B"/>
    <w:rsid w:val="7D425704"/>
    <w:rsid w:val="7D625211"/>
    <w:rsid w:val="7E227C8E"/>
    <w:rsid w:val="7F8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D7F0-8DD0-476D-84A2-B89CCCD07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铭普光磁</Company>
  <Pages>2</Pages>
  <Words>973</Words>
  <Characters>1089</Characters>
  <Lines>8</Lines>
  <Paragraphs>2</Paragraphs>
  <TotalTime>6</TotalTime>
  <ScaleCrop>false</ScaleCrop>
  <LinksUpToDate>false</LinksUpToDate>
  <CharactersWithSpaces>1110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2025-01-17T09:30:00Z</dcterms:created>
  <dc:creator>舒丹</dc:creator>
  <cp:lastModifiedBy>WPS_477959835</cp:lastModifiedBy>
  <cp:lastPrinted>2025-01-17T08:51:00Z</cp:lastPrinted>
  <dcterms:modified xsi:type="dcterms:W3CDTF">2025-01-17T09:56:27Z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EBA2A79F21944A71B8420ED6B378C8A0_13</vt:lpwstr>
  </property>
  <property fmtid="{D5CDD505-2E9C-101B-9397-08002B2CF9AE}" pid="4" name="KSOTemplateDocerSaveRecord">
    <vt:lpwstr>eyJoZGlkIjoiODlhYmE1MzQ4NzRlYjUyNWI2Yzc4ZTAxNzZhZWFmNTciLCJ1c2VySWQiOiI0Nzc5NTk4MzUifQ==</vt:lpwstr>
  </property>
</Properties>
</file>