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E6AFD">
      <w:pPr>
        <w:spacing w:line="360" w:lineRule="auto"/>
        <w:rPr>
          <w:rFonts w:ascii="宋体" w:hAnsi="宋体"/>
          <w:b/>
          <w:sz w:val="24"/>
        </w:rPr>
      </w:pPr>
      <w:r>
        <w:rPr>
          <w:rFonts w:hint="eastAsia" w:ascii="宋体" w:hAnsi="宋体"/>
          <w:b/>
          <w:sz w:val="24"/>
        </w:rPr>
        <w:t>证券代码：002902         证券简称：铭普光磁        公告编号：2025-008</w:t>
      </w:r>
    </w:p>
    <w:p w14:paraId="493DC8DF">
      <w:pPr>
        <w:spacing w:line="360" w:lineRule="auto"/>
        <w:rPr>
          <w:rFonts w:ascii="宋体" w:hAnsi="宋体"/>
          <w:sz w:val="24"/>
        </w:rPr>
      </w:pPr>
    </w:p>
    <w:p w14:paraId="5B768F54">
      <w:pPr>
        <w:spacing w:line="360" w:lineRule="auto"/>
        <w:jc w:val="center"/>
        <w:rPr>
          <w:rFonts w:ascii="宋体" w:hAnsi="宋体"/>
          <w:b/>
          <w:sz w:val="32"/>
          <w:szCs w:val="32"/>
        </w:rPr>
      </w:pPr>
      <w:r>
        <w:rPr>
          <w:rFonts w:hint="eastAsia" w:ascii="宋体" w:hAnsi="宋体"/>
          <w:b/>
          <w:sz w:val="32"/>
          <w:szCs w:val="32"/>
        </w:rPr>
        <w:t>东莞铭普光磁股份有限公司</w:t>
      </w:r>
    </w:p>
    <w:p w14:paraId="4E092183">
      <w:pPr>
        <w:spacing w:line="360" w:lineRule="auto"/>
        <w:jc w:val="center"/>
        <w:rPr>
          <w:rFonts w:ascii="宋体" w:hAnsi="宋体"/>
          <w:b/>
          <w:sz w:val="32"/>
          <w:szCs w:val="32"/>
        </w:rPr>
      </w:pPr>
      <w:r>
        <w:rPr>
          <w:rFonts w:hint="eastAsia" w:ascii="宋体" w:hAnsi="宋体"/>
          <w:b/>
          <w:sz w:val="32"/>
          <w:szCs w:val="32"/>
        </w:rPr>
        <w:t>关于2024年度拟计提减值</w:t>
      </w:r>
      <w:r>
        <w:rPr>
          <w:rFonts w:ascii="宋体" w:hAnsi="宋体"/>
          <w:b/>
          <w:sz w:val="32"/>
          <w:szCs w:val="32"/>
        </w:rPr>
        <w:t>准备的公告</w:t>
      </w:r>
    </w:p>
    <w:p w14:paraId="18808F2E">
      <w:pPr>
        <w:spacing w:line="360" w:lineRule="auto"/>
        <w:jc w:val="center"/>
        <w:rPr>
          <w:rFonts w:ascii="宋体" w:hAnsi="宋体"/>
          <w:b/>
          <w:sz w:val="32"/>
          <w:szCs w:val="32"/>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49995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shd w:val="clear" w:color="auto" w:fill="auto"/>
          </w:tcPr>
          <w:p w14:paraId="5BAC26B8">
            <w:pPr>
              <w:spacing w:line="360" w:lineRule="auto"/>
              <w:ind w:firstLine="482" w:firstLineChars="200"/>
              <w:rPr>
                <w:rFonts w:ascii="宋体" w:hAnsi="宋体"/>
                <w:b/>
                <w:sz w:val="24"/>
              </w:rPr>
            </w:pPr>
            <w:r>
              <w:rPr>
                <w:rFonts w:ascii="宋体" w:hAnsi="宋体"/>
                <w:b/>
                <w:sz w:val="24"/>
              </w:rPr>
              <w:t>本公司及董事会全体成员保证信息披露的内容真实、准确、完整，没有虚假记载、误导性陈述或重大遗漏。</w:t>
            </w:r>
          </w:p>
        </w:tc>
      </w:tr>
    </w:tbl>
    <w:p w14:paraId="4FF4AF6D">
      <w:pPr>
        <w:spacing w:line="360" w:lineRule="auto"/>
        <w:ind w:firstLine="480" w:firstLineChars="200"/>
        <w:rPr>
          <w:rFonts w:ascii="宋体" w:hAnsi="宋体" w:cs="宋体"/>
          <w:sz w:val="24"/>
        </w:rPr>
      </w:pPr>
    </w:p>
    <w:p w14:paraId="086A6809">
      <w:pPr>
        <w:spacing w:line="360" w:lineRule="auto"/>
        <w:ind w:firstLine="480" w:firstLineChars="200"/>
        <w:rPr>
          <w:rFonts w:ascii="宋体" w:hAnsi="宋体" w:cs="宋体"/>
          <w:sz w:val="24"/>
        </w:rPr>
      </w:pPr>
      <w:r>
        <w:rPr>
          <w:rFonts w:hint="eastAsia" w:ascii="宋体" w:hAnsi="宋体" w:cs="宋体"/>
          <w:sz w:val="24"/>
        </w:rPr>
        <w:t>根据《深圳证券交易所股票上市规则》的相关规定，东莞铭普光磁股份有限公司（以下简称“公司”）依据《企业会计准则》及公司相关会计政策的规定，将公司本次拟计提减值准备的具体情况公告如下：</w:t>
      </w:r>
    </w:p>
    <w:p w14:paraId="7376BFEE">
      <w:pPr>
        <w:numPr>
          <w:ilvl w:val="0"/>
          <w:numId w:val="1"/>
        </w:numPr>
        <w:ind w:firstLine="502" w:firstLineChars="200"/>
        <w:rPr>
          <w:rFonts w:ascii="Arial" w:hAnsi="Arial" w:cs="Arial"/>
          <w:b/>
          <w:sz w:val="25"/>
          <w:szCs w:val="25"/>
          <w:shd w:val="clear" w:color="auto" w:fill="FFFFFF"/>
        </w:rPr>
      </w:pPr>
      <w:r>
        <w:rPr>
          <w:rFonts w:ascii="Arial" w:hAnsi="Arial" w:cs="Arial"/>
          <w:b/>
          <w:sz w:val="25"/>
          <w:szCs w:val="25"/>
          <w:shd w:val="clear" w:color="auto" w:fill="FFFFFF"/>
        </w:rPr>
        <w:t>本次</w:t>
      </w:r>
      <w:r>
        <w:rPr>
          <w:rFonts w:hint="eastAsia" w:ascii="Arial" w:hAnsi="Arial" w:cs="Arial"/>
          <w:b/>
          <w:sz w:val="25"/>
          <w:szCs w:val="25"/>
          <w:shd w:val="clear" w:color="auto" w:fill="FFFFFF"/>
        </w:rPr>
        <w:t>拟</w:t>
      </w:r>
      <w:r>
        <w:rPr>
          <w:rFonts w:ascii="Arial" w:hAnsi="Arial" w:cs="Arial"/>
          <w:b/>
          <w:sz w:val="25"/>
          <w:szCs w:val="25"/>
          <w:shd w:val="clear" w:color="auto" w:fill="FFFFFF"/>
        </w:rPr>
        <w:t>计提减值准备的情况概述</w:t>
      </w:r>
    </w:p>
    <w:p w14:paraId="14F50D76">
      <w:pPr>
        <w:spacing w:line="360" w:lineRule="auto"/>
        <w:ind w:firstLine="480" w:firstLineChars="200"/>
        <w:rPr>
          <w:rFonts w:ascii="Times New Roman" w:hAnsi="Times New Roman" w:cs="Arial" w:eastAsiaTheme="majorEastAsia"/>
          <w:sz w:val="24"/>
          <w:shd w:val="clear" w:color="auto" w:fill="FFFFFF"/>
        </w:rPr>
      </w:pPr>
      <w:r>
        <w:rPr>
          <w:rFonts w:ascii="Times New Roman" w:hAnsi="Times New Roman" w:cs="Arial" w:eastAsiaTheme="majorEastAsia"/>
          <w:sz w:val="24"/>
          <w:shd w:val="clear" w:color="auto" w:fill="FFFFFF"/>
        </w:rPr>
        <w:t>为真实反映</w:t>
      </w:r>
      <w:r>
        <w:rPr>
          <w:rFonts w:hint="eastAsia" w:ascii="Times New Roman" w:hAnsi="Times New Roman" w:cs="宋体" w:eastAsiaTheme="majorEastAsia"/>
          <w:sz w:val="24"/>
        </w:rPr>
        <w:t>公司</w:t>
      </w:r>
      <w:r>
        <w:rPr>
          <w:rFonts w:hint="eastAsia" w:ascii="Times New Roman" w:hAnsi="Times New Roman" w:cs="Arial" w:eastAsiaTheme="majorEastAsia"/>
          <w:sz w:val="24"/>
          <w:shd w:val="clear" w:color="auto" w:fill="FFFFFF"/>
        </w:rPr>
        <w:t>的</w:t>
      </w:r>
      <w:r>
        <w:rPr>
          <w:rFonts w:ascii="Times New Roman" w:hAnsi="Times New Roman" w:cs="Arial" w:eastAsiaTheme="majorEastAsia"/>
          <w:sz w:val="24"/>
          <w:shd w:val="clear" w:color="auto" w:fill="FFFFFF"/>
        </w:rPr>
        <w:t>财务状况、资产价值及经营情况，本着谨慎性原则，根据《企业会计准则》及公司会计政策的相关规定，公司对合并报表范围内截至</w:t>
      </w:r>
      <w:r>
        <w:rPr>
          <w:rFonts w:ascii="Times New Roman" w:hAnsi="Times New Roman" w:cs="Courier New" w:eastAsiaTheme="majorEastAsia"/>
          <w:sz w:val="24"/>
          <w:shd w:val="clear" w:color="auto" w:fill="FFFFFF"/>
        </w:rPr>
        <w:t>202</w:t>
      </w:r>
      <w:r>
        <w:rPr>
          <w:rFonts w:hint="eastAsia" w:ascii="Times New Roman" w:hAnsi="Times New Roman" w:cs="Courier New" w:eastAsiaTheme="majorEastAsia"/>
          <w:sz w:val="24"/>
          <w:shd w:val="clear" w:color="auto" w:fill="FFFFFF"/>
        </w:rPr>
        <w:t>4</w:t>
      </w:r>
      <w:r>
        <w:rPr>
          <w:rFonts w:ascii="Times New Roman" w:hAnsi="Times New Roman" w:cs="Arial" w:eastAsiaTheme="majorEastAsia"/>
          <w:sz w:val="24"/>
          <w:shd w:val="clear" w:color="auto" w:fill="FFFFFF"/>
        </w:rPr>
        <w:t>年</w:t>
      </w:r>
      <w:r>
        <w:rPr>
          <w:rFonts w:hint="eastAsia" w:ascii="Times New Roman" w:hAnsi="Times New Roman" w:cs="Arial" w:eastAsiaTheme="majorEastAsia"/>
          <w:sz w:val="24"/>
          <w:shd w:val="clear" w:color="auto" w:fill="FFFFFF"/>
        </w:rPr>
        <w:t>12月31日的所属资产</w:t>
      </w:r>
      <w:r>
        <w:rPr>
          <w:rFonts w:ascii="Times New Roman" w:hAnsi="Times New Roman" w:cs="Arial" w:eastAsiaTheme="majorEastAsia"/>
          <w:sz w:val="24"/>
          <w:shd w:val="clear" w:color="auto" w:fill="FFFFFF"/>
        </w:rPr>
        <w:t>进行了减值测试，</w:t>
      </w:r>
      <w:r>
        <w:rPr>
          <w:rFonts w:hint="eastAsia" w:ascii="Times New Roman" w:hAnsi="Times New Roman" w:cs="Arial" w:eastAsiaTheme="majorEastAsia"/>
          <w:sz w:val="24"/>
          <w:shd w:val="clear" w:color="auto" w:fill="FFFFFF"/>
        </w:rPr>
        <w:t>拟</w:t>
      </w:r>
      <w:r>
        <w:rPr>
          <w:rFonts w:ascii="Times New Roman" w:hAnsi="Times New Roman" w:cs="Arial" w:eastAsiaTheme="majorEastAsia"/>
          <w:sz w:val="24"/>
          <w:shd w:val="clear" w:color="auto" w:fill="FFFFFF"/>
        </w:rPr>
        <w:t>对可能发生减值损失的资产计提减值准备</w:t>
      </w:r>
      <w:r>
        <w:rPr>
          <w:rFonts w:hint="eastAsia" w:ascii="Times New Roman" w:hAnsi="Times New Roman" w:cs="Arial" w:eastAsiaTheme="majorEastAsia"/>
          <w:sz w:val="24"/>
          <w:shd w:val="clear" w:color="auto" w:fill="FFFFFF"/>
        </w:rPr>
        <w:t>。</w:t>
      </w:r>
    </w:p>
    <w:p w14:paraId="0973EFBB">
      <w:pPr>
        <w:spacing w:line="360" w:lineRule="auto"/>
        <w:ind w:firstLine="480" w:firstLineChars="200"/>
        <w:rPr>
          <w:rFonts w:ascii="Arial" w:hAnsi="Arial" w:cs="Arial"/>
          <w:b/>
          <w:sz w:val="25"/>
          <w:szCs w:val="25"/>
          <w:shd w:val="clear" w:color="auto" w:fill="FFFFFF"/>
        </w:rPr>
      </w:pPr>
      <w:r>
        <w:rPr>
          <w:rFonts w:hint="eastAsia" w:ascii="Times New Roman" w:hAnsi="Times New Roman" w:cs="Arial" w:eastAsiaTheme="majorEastAsia"/>
          <w:sz w:val="24"/>
          <w:shd w:val="clear" w:color="auto" w:fill="FFFFFF"/>
        </w:rPr>
        <w:t>公司预计2024年全年计提资产</w:t>
      </w:r>
      <w:r>
        <w:rPr>
          <w:rFonts w:hint="eastAsia" w:cs="Arial" w:eastAsiaTheme="majorEastAsia"/>
          <w:sz w:val="24"/>
          <w:shd w:val="clear" w:color="auto" w:fill="FFFFFF"/>
          <w:lang w:val="en-US" w:eastAsia="zh-CN"/>
        </w:rPr>
        <w:t>和信用</w:t>
      </w:r>
      <w:r>
        <w:rPr>
          <w:rFonts w:hint="eastAsia" w:ascii="Times New Roman" w:hAnsi="Times New Roman" w:cs="Arial" w:eastAsiaTheme="majorEastAsia"/>
          <w:sz w:val="24"/>
          <w:shd w:val="clear" w:color="auto" w:fill="FFFFFF"/>
        </w:rPr>
        <w:t>减值准备金额合计约为</w:t>
      </w:r>
      <w:r>
        <w:rPr>
          <w:rFonts w:ascii="Times New Roman" w:hAnsi="Times New Roman" w:cs="Arial" w:eastAsiaTheme="majorEastAsia"/>
          <w:sz w:val="24"/>
          <w:shd w:val="clear" w:color="auto" w:fill="FFFFFF"/>
        </w:rPr>
        <w:t>7,282.36</w:t>
      </w:r>
      <w:r>
        <w:rPr>
          <w:rFonts w:hint="eastAsia" w:ascii="Times New Roman" w:hAnsi="Times New Roman" w:cs="Arial" w:eastAsiaTheme="majorEastAsia"/>
          <w:sz w:val="24"/>
          <w:shd w:val="clear" w:color="auto" w:fill="FFFFFF"/>
        </w:rPr>
        <w:t>万元，本</w:t>
      </w:r>
      <w:r>
        <w:rPr>
          <w:rFonts w:hint="eastAsia" w:cs="Arial" w:asciiTheme="minorEastAsia" w:hAnsiTheme="minorEastAsia" w:eastAsiaTheme="minorEastAsia"/>
          <w:sz w:val="24"/>
          <w:shd w:val="clear" w:color="auto" w:fill="FFFFFF"/>
        </w:rPr>
        <w:t>次计提减值准备情况未经会计师事务所审计。具体明细如下：</w:t>
      </w:r>
    </w:p>
    <w:p w14:paraId="6BB780EB">
      <w:pPr>
        <w:spacing w:line="360" w:lineRule="auto"/>
        <w:ind w:firstLine="480" w:firstLineChars="200"/>
        <w:contextualSpacing/>
        <w:jc w:val="right"/>
        <w:rPr>
          <w:rFonts w:cs="Arial" w:asciiTheme="minorEastAsia" w:hAnsiTheme="minorEastAsia" w:eastAsiaTheme="minorEastAsia"/>
          <w:sz w:val="24"/>
          <w:shd w:val="clear" w:color="auto" w:fill="FFFFFF"/>
        </w:rPr>
      </w:pPr>
      <w:r>
        <w:rPr>
          <w:rFonts w:hint="eastAsia" w:cs="Arial" w:asciiTheme="minorEastAsia" w:hAnsiTheme="minorEastAsia" w:eastAsiaTheme="minorEastAsia"/>
          <w:sz w:val="24"/>
          <w:shd w:val="clear" w:color="auto" w:fill="FFFFFF"/>
        </w:rPr>
        <w:t>单位：万元</w:t>
      </w:r>
    </w:p>
    <w:tbl>
      <w:tblPr>
        <w:tblStyle w:val="7"/>
        <w:tblW w:w="5000" w:type="pct"/>
        <w:jc w:val="center"/>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Layout w:type="autofit"/>
        <w:tblCellMar>
          <w:top w:w="0" w:type="dxa"/>
          <w:left w:w="108" w:type="dxa"/>
          <w:bottom w:w="0" w:type="dxa"/>
          <w:right w:w="108" w:type="dxa"/>
        </w:tblCellMar>
      </w:tblPr>
      <w:tblGrid>
        <w:gridCol w:w="2028"/>
        <w:gridCol w:w="2044"/>
        <w:gridCol w:w="4450"/>
      </w:tblGrid>
      <w:tr w14:paraId="1A1441CA">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tblHeader/>
          <w:jc w:val="center"/>
        </w:trPr>
        <w:tc>
          <w:tcPr>
            <w:tcW w:w="1190" w:type="pct"/>
            <w:tcBorders>
              <w:top w:val="single" w:color="010000" w:sz="12" w:space="0"/>
              <w:bottom w:val="single" w:color="010000" w:sz="4" w:space="0"/>
            </w:tcBorders>
            <w:shd w:val="clear" w:color="auto" w:fill="auto"/>
            <w:vAlign w:val="center"/>
          </w:tcPr>
          <w:p w14:paraId="19CA6420">
            <w:pPr>
              <w:keepNext/>
              <w:widowControl w:val="0"/>
              <w:jc w:val="center"/>
              <w:rPr>
                <w:b/>
                <w:color w:val="000000"/>
              </w:rPr>
            </w:pPr>
            <w:r>
              <w:rPr>
                <w:rFonts w:hint="eastAsia"/>
                <w:b/>
                <w:color w:val="000000"/>
              </w:rPr>
              <w:t>项目</w:t>
            </w:r>
          </w:p>
        </w:tc>
        <w:tc>
          <w:tcPr>
            <w:tcW w:w="1199" w:type="pct"/>
            <w:tcBorders>
              <w:top w:val="single" w:color="010000" w:sz="12" w:space="0"/>
              <w:bottom w:val="single" w:color="010000" w:sz="4" w:space="0"/>
            </w:tcBorders>
            <w:shd w:val="clear" w:color="auto" w:fill="auto"/>
            <w:vAlign w:val="center"/>
          </w:tcPr>
          <w:p w14:paraId="046FD0B5">
            <w:pPr>
              <w:keepNext/>
              <w:widowControl w:val="0"/>
              <w:jc w:val="center"/>
              <w:rPr>
                <w:b/>
                <w:color w:val="000000"/>
              </w:rPr>
            </w:pPr>
            <w:r>
              <w:rPr>
                <w:rFonts w:hint="eastAsia"/>
                <w:b/>
                <w:color w:val="000000"/>
              </w:rPr>
              <w:t>本期拟计提金额</w:t>
            </w:r>
          </w:p>
        </w:tc>
        <w:tc>
          <w:tcPr>
            <w:tcW w:w="2611" w:type="pct"/>
            <w:tcBorders>
              <w:top w:val="single" w:color="010000" w:sz="12" w:space="0"/>
              <w:bottom w:val="single" w:color="010000" w:sz="4" w:space="0"/>
            </w:tcBorders>
            <w:shd w:val="clear" w:color="auto" w:fill="auto"/>
            <w:vAlign w:val="center"/>
          </w:tcPr>
          <w:p w14:paraId="50A66241">
            <w:pPr>
              <w:keepNext/>
              <w:widowControl w:val="0"/>
              <w:jc w:val="center"/>
              <w:rPr>
                <w:b/>
                <w:color w:val="000000"/>
              </w:rPr>
            </w:pPr>
            <w:r>
              <w:rPr>
                <w:rFonts w:hint="eastAsia"/>
                <w:b/>
                <w:color w:val="000000"/>
              </w:rPr>
              <w:t>情况说明</w:t>
            </w:r>
          </w:p>
        </w:tc>
      </w:tr>
      <w:tr w14:paraId="782DC0D7">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1190" w:type="pct"/>
            <w:tcBorders>
              <w:top w:val="single" w:color="010000" w:sz="4" w:space="0"/>
            </w:tcBorders>
            <w:shd w:val="clear" w:color="auto" w:fill="auto"/>
            <w:vAlign w:val="center"/>
          </w:tcPr>
          <w:p w14:paraId="162CA49F">
            <w:pPr>
              <w:widowControl w:val="0"/>
              <w:jc w:val="left"/>
              <w:rPr>
                <w:color w:val="000000"/>
              </w:rPr>
            </w:pPr>
            <w:r>
              <w:rPr>
                <w:rFonts w:hint="eastAsia"/>
                <w:color w:val="000000"/>
              </w:rPr>
              <w:t>信用减值损失</w:t>
            </w:r>
          </w:p>
        </w:tc>
        <w:tc>
          <w:tcPr>
            <w:tcW w:w="1199" w:type="pct"/>
            <w:tcBorders>
              <w:top w:val="single" w:color="010000" w:sz="4" w:space="0"/>
            </w:tcBorders>
            <w:shd w:val="clear" w:color="auto" w:fill="auto"/>
            <w:noWrap/>
            <w:vAlign w:val="center"/>
          </w:tcPr>
          <w:p w14:paraId="49B4311E">
            <w:pPr>
              <w:widowControl w:val="0"/>
              <w:jc w:val="right"/>
              <w:rPr>
                <w:color w:val="000000"/>
              </w:rPr>
            </w:pPr>
            <w:r>
              <w:rPr>
                <w:color w:val="000000"/>
              </w:rPr>
              <w:t>1,275.70</w:t>
            </w:r>
          </w:p>
        </w:tc>
        <w:tc>
          <w:tcPr>
            <w:tcW w:w="2611" w:type="pct"/>
            <w:tcBorders>
              <w:top w:val="single" w:color="010000" w:sz="4" w:space="0"/>
            </w:tcBorders>
            <w:shd w:val="clear" w:color="auto" w:fill="auto"/>
            <w:vAlign w:val="center"/>
          </w:tcPr>
          <w:p w14:paraId="20CD1F12">
            <w:pPr>
              <w:widowControl w:val="0"/>
              <w:jc w:val="left"/>
              <w:rPr>
                <w:color w:val="000000"/>
              </w:rPr>
            </w:pPr>
            <w:r>
              <w:rPr>
                <w:rFonts w:hint="eastAsia"/>
                <w:color w:val="000000"/>
              </w:rPr>
              <w:t>对应收款项以预期信用损失为基础确认损失准备</w:t>
            </w:r>
          </w:p>
        </w:tc>
      </w:tr>
      <w:tr w14:paraId="5AE76E4E">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1190" w:type="pct"/>
            <w:shd w:val="clear" w:color="auto" w:fill="auto"/>
            <w:vAlign w:val="center"/>
          </w:tcPr>
          <w:p w14:paraId="0E4BE701">
            <w:pPr>
              <w:widowControl w:val="0"/>
              <w:jc w:val="left"/>
              <w:rPr>
                <w:color w:val="000000"/>
              </w:rPr>
            </w:pPr>
            <w:r>
              <w:rPr>
                <w:rFonts w:hint="eastAsia"/>
                <w:color w:val="000000"/>
              </w:rPr>
              <w:t>固定资产减值损失</w:t>
            </w:r>
          </w:p>
        </w:tc>
        <w:tc>
          <w:tcPr>
            <w:tcW w:w="1199" w:type="pct"/>
            <w:shd w:val="clear" w:color="auto" w:fill="auto"/>
            <w:noWrap/>
            <w:vAlign w:val="center"/>
          </w:tcPr>
          <w:p w14:paraId="10E9BE40">
            <w:pPr>
              <w:widowControl w:val="0"/>
              <w:jc w:val="right"/>
              <w:rPr>
                <w:color w:val="000000"/>
              </w:rPr>
            </w:pPr>
            <w:r>
              <w:rPr>
                <w:color w:val="000000"/>
              </w:rPr>
              <w:t>4,300.00</w:t>
            </w:r>
          </w:p>
        </w:tc>
        <w:tc>
          <w:tcPr>
            <w:tcW w:w="2611" w:type="pct"/>
            <w:shd w:val="clear" w:color="auto" w:fill="auto"/>
            <w:vAlign w:val="center"/>
          </w:tcPr>
          <w:p w14:paraId="72344928">
            <w:pPr>
              <w:widowControl w:val="0"/>
              <w:jc w:val="left"/>
              <w:rPr>
                <w:color w:val="000000"/>
              </w:rPr>
            </w:pPr>
            <w:r>
              <w:rPr>
                <w:rFonts w:hint="eastAsia"/>
                <w:color w:val="000000"/>
              </w:rPr>
              <w:t>相关资产存在减值迹象，公司聘请专业评估机构对固定资产进行了减值测试，并根据企业会计准则相关要求计提了资产减值准备</w:t>
            </w:r>
          </w:p>
        </w:tc>
      </w:tr>
      <w:tr w14:paraId="0E7333DB">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1190" w:type="pct"/>
            <w:shd w:val="clear" w:color="auto" w:fill="auto"/>
            <w:vAlign w:val="center"/>
          </w:tcPr>
          <w:p w14:paraId="7B7F7A07">
            <w:pPr>
              <w:widowControl w:val="0"/>
              <w:jc w:val="left"/>
              <w:rPr>
                <w:color w:val="000000"/>
              </w:rPr>
            </w:pPr>
            <w:r>
              <w:rPr>
                <w:rFonts w:hint="eastAsia"/>
                <w:color w:val="000000"/>
              </w:rPr>
              <w:t>存货跌价损失</w:t>
            </w:r>
          </w:p>
        </w:tc>
        <w:tc>
          <w:tcPr>
            <w:tcW w:w="1199" w:type="pct"/>
            <w:shd w:val="clear" w:color="auto" w:fill="auto"/>
            <w:noWrap/>
            <w:vAlign w:val="center"/>
          </w:tcPr>
          <w:p w14:paraId="64795A9F">
            <w:pPr>
              <w:widowControl w:val="0"/>
              <w:jc w:val="right"/>
              <w:rPr>
                <w:color w:val="000000"/>
              </w:rPr>
            </w:pPr>
            <w:r>
              <w:rPr>
                <w:color w:val="000000"/>
              </w:rPr>
              <w:t>1,620.06</w:t>
            </w:r>
          </w:p>
        </w:tc>
        <w:tc>
          <w:tcPr>
            <w:tcW w:w="2611" w:type="pct"/>
            <w:shd w:val="clear" w:color="auto" w:fill="auto"/>
            <w:vAlign w:val="center"/>
          </w:tcPr>
          <w:p w14:paraId="1E967E2D">
            <w:pPr>
              <w:widowControl w:val="0"/>
              <w:jc w:val="left"/>
              <w:rPr>
                <w:color w:val="000000"/>
              </w:rPr>
            </w:pPr>
            <w:r>
              <w:rPr>
                <w:rFonts w:hint="eastAsia"/>
                <w:color w:val="000000"/>
              </w:rPr>
              <w:t>在资产负债表日存货成本高于预计可变现净值，计提存货跌价准备</w:t>
            </w:r>
          </w:p>
        </w:tc>
      </w:tr>
      <w:tr w14:paraId="146E3068">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1190" w:type="pct"/>
            <w:shd w:val="clear" w:color="auto" w:fill="auto"/>
            <w:vAlign w:val="center"/>
          </w:tcPr>
          <w:p w14:paraId="7499122D">
            <w:pPr>
              <w:widowControl w:val="0"/>
              <w:jc w:val="left"/>
              <w:rPr>
                <w:color w:val="000000"/>
              </w:rPr>
            </w:pPr>
            <w:r>
              <w:rPr>
                <w:rFonts w:hint="eastAsia"/>
                <w:color w:val="000000"/>
              </w:rPr>
              <w:t>合同资产减值损失</w:t>
            </w:r>
          </w:p>
        </w:tc>
        <w:tc>
          <w:tcPr>
            <w:tcW w:w="1199" w:type="pct"/>
            <w:shd w:val="clear" w:color="auto" w:fill="auto"/>
            <w:noWrap/>
            <w:vAlign w:val="center"/>
          </w:tcPr>
          <w:p w14:paraId="2F5B3C57">
            <w:pPr>
              <w:widowControl w:val="0"/>
              <w:jc w:val="right"/>
              <w:rPr>
                <w:color w:val="000000"/>
              </w:rPr>
            </w:pPr>
            <w:r>
              <w:rPr>
                <w:color w:val="000000"/>
              </w:rPr>
              <w:t>86.60</w:t>
            </w:r>
          </w:p>
        </w:tc>
        <w:tc>
          <w:tcPr>
            <w:tcW w:w="2611" w:type="pct"/>
            <w:shd w:val="clear" w:color="auto" w:fill="auto"/>
            <w:vAlign w:val="center"/>
          </w:tcPr>
          <w:p w14:paraId="5A268FF9">
            <w:pPr>
              <w:widowControl w:val="0"/>
              <w:jc w:val="left"/>
              <w:rPr>
                <w:color w:val="000000"/>
              </w:rPr>
            </w:pPr>
            <w:r>
              <w:rPr>
                <w:rFonts w:hint="eastAsia"/>
                <w:color w:val="000000"/>
              </w:rPr>
              <w:t>合同资产以预期信用损失为基础计提减值</w:t>
            </w:r>
          </w:p>
        </w:tc>
      </w:tr>
      <w:tr w14:paraId="25BA54D7">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1190" w:type="pct"/>
            <w:shd w:val="clear" w:color="auto" w:fill="auto"/>
            <w:vAlign w:val="center"/>
          </w:tcPr>
          <w:p w14:paraId="6243BD4D">
            <w:pPr>
              <w:widowControl w:val="0"/>
              <w:jc w:val="center"/>
              <w:rPr>
                <w:b/>
                <w:color w:val="000000"/>
              </w:rPr>
            </w:pPr>
            <w:r>
              <w:rPr>
                <w:rFonts w:hint="eastAsia"/>
                <w:b/>
                <w:color w:val="000000"/>
              </w:rPr>
              <w:t>合计</w:t>
            </w:r>
          </w:p>
        </w:tc>
        <w:tc>
          <w:tcPr>
            <w:tcW w:w="1199" w:type="pct"/>
            <w:shd w:val="clear" w:color="auto" w:fill="auto"/>
            <w:vAlign w:val="center"/>
          </w:tcPr>
          <w:p w14:paraId="5BC223AA">
            <w:pPr>
              <w:widowControl w:val="0"/>
              <w:jc w:val="right"/>
              <w:rPr>
                <w:b/>
                <w:color w:val="000000"/>
              </w:rPr>
            </w:pPr>
            <w:r>
              <w:rPr>
                <w:b/>
                <w:color w:val="000000"/>
              </w:rPr>
              <w:t>7,282.36</w:t>
            </w:r>
          </w:p>
        </w:tc>
        <w:tc>
          <w:tcPr>
            <w:tcW w:w="2611" w:type="pct"/>
            <w:shd w:val="clear" w:color="auto" w:fill="auto"/>
            <w:vAlign w:val="center"/>
          </w:tcPr>
          <w:p w14:paraId="41DF11CA">
            <w:pPr>
              <w:widowControl w:val="0"/>
              <w:jc w:val="left"/>
              <w:rPr>
                <w:b/>
                <w:color w:val="000000"/>
              </w:rPr>
            </w:pPr>
          </w:p>
        </w:tc>
      </w:tr>
    </w:tbl>
    <w:p w14:paraId="7BA6D152">
      <w:pPr>
        <w:spacing w:line="360" w:lineRule="auto"/>
        <w:ind w:firstLine="480" w:firstLineChars="200"/>
        <w:contextualSpacing/>
        <w:jc w:val="right"/>
        <w:rPr>
          <w:rFonts w:cs="Arial" w:asciiTheme="minorEastAsia" w:hAnsiTheme="minorEastAsia" w:eastAsiaTheme="minorEastAsia"/>
          <w:sz w:val="24"/>
          <w:shd w:val="clear" w:color="auto" w:fill="FFFFFF"/>
        </w:rPr>
      </w:pPr>
    </w:p>
    <w:p w14:paraId="57ADF618">
      <w:pPr>
        <w:spacing w:line="360" w:lineRule="auto"/>
        <w:ind w:firstLine="482" w:firstLineChars="200"/>
        <w:rPr>
          <w:rFonts w:cs="Arial" w:asciiTheme="minorEastAsia" w:hAnsiTheme="minorEastAsia" w:eastAsiaTheme="minorEastAsia"/>
          <w:b/>
          <w:sz w:val="24"/>
          <w:shd w:val="clear" w:color="auto" w:fill="FFFFFF"/>
        </w:rPr>
      </w:pPr>
      <w:r>
        <w:rPr>
          <w:rFonts w:hint="eastAsia" w:cs="Arial" w:asciiTheme="minorEastAsia" w:hAnsiTheme="minorEastAsia" w:eastAsiaTheme="minorEastAsia"/>
          <w:b/>
          <w:sz w:val="24"/>
          <w:shd w:val="clear" w:color="auto" w:fill="FFFFFF"/>
        </w:rPr>
        <w:t>二</w:t>
      </w:r>
      <w:r>
        <w:rPr>
          <w:rFonts w:cs="Arial" w:asciiTheme="minorEastAsia" w:hAnsiTheme="minorEastAsia" w:eastAsiaTheme="minorEastAsia"/>
          <w:b/>
          <w:sz w:val="24"/>
          <w:shd w:val="clear" w:color="auto" w:fill="FFFFFF"/>
        </w:rPr>
        <w:t>、计提减值损失的</w:t>
      </w:r>
      <w:r>
        <w:rPr>
          <w:rFonts w:hint="eastAsia" w:cs="Arial" w:asciiTheme="minorEastAsia" w:hAnsiTheme="minorEastAsia" w:eastAsiaTheme="minorEastAsia"/>
          <w:b/>
          <w:sz w:val="24"/>
          <w:shd w:val="clear" w:color="auto" w:fill="FFFFFF"/>
        </w:rPr>
        <w:t>确定方法及会计处理方法</w:t>
      </w:r>
    </w:p>
    <w:p w14:paraId="370F56BC">
      <w:pPr>
        <w:spacing w:line="360" w:lineRule="auto"/>
        <w:ind w:firstLine="482" w:firstLineChars="200"/>
        <w:contextualSpacing/>
        <w:rPr>
          <w:rFonts w:cs="Arial" w:asciiTheme="minorEastAsia" w:hAnsiTheme="minorEastAsia" w:eastAsiaTheme="minorEastAsia"/>
          <w:b/>
          <w:sz w:val="24"/>
          <w:shd w:val="clear" w:color="auto" w:fill="FFFFFF"/>
        </w:rPr>
      </w:pPr>
      <w:r>
        <w:rPr>
          <w:rFonts w:hint="eastAsia" w:cs="Arial" w:asciiTheme="minorEastAsia" w:hAnsiTheme="minorEastAsia" w:eastAsiaTheme="minorEastAsia"/>
          <w:b/>
          <w:sz w:val="24"/>
          <w:shd w:val="clear" w:color="auto" w:fill="FFFFFF"/>
        </w:rPr>
        <w:t>1、金融工具减值</w:t>
      </w:r>
    </w:p>
    <w:p w14:paraId="2909EE9B">
      <w:pPr>
        <w:spacing w:line="360" w:lineRule="auto"/>
        <w:ind w:firstLine="480" w:firstLineChars="200"/>
        <w:contextualSpacing/>
        <w:rPr>
          <w:sz w:val="24"/>
        </w:rPr>
      </w:pPr>
      <w:r>
        <w:rPr>
          <w:rFonts w:hint="eastAsia"/>
          <w:sz w:val="24"/>
        </w:rPr>
        <w:t>本公司对以摊余成本计量的金融资产、以公允价值计量且其变动计入其他综合收益的金融资产（债务工具）和财务担保合同等以预期信用损失为基础进行减值会计处理。</w:t>
      </w:r>
    </w:p>
    <w:p w14:paraId="35C8B972">
      <w:pPr>
        <w:spacing w:line="360" w:lineRule="auto"/>
        <w:ind w:firstLine="480" w:firstLineChars="200"/>
        <w:contextualSpacing/>
        <w:rPr>
          <w:sz w:val="24"/>
        </w:rPr>
      </w:pPr>
      <w:r>
        <w:rPr>
          <w:rFonts w:hint="eastAsia"/>
          <w:sz w:val="24"/>
        </w:rPr>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10490B0B">
      <w:pPr>
        <w:spacing w:line="360" w:lineRule="auto"/>
        <w:ind w:firstLine="480" w:firstLineChars="200"/>
        <w:contextualSpacing/>
        <w:rPr>
          <w:sz w:val="24"/>
        </w:rPr>
      </w:pPr>
      <w:r>
        <w:rPr>
          <w:rFonts w:hint="eastAsia"/>
          <w:sz w:val="24"/>
        </w:rPr>
        <w:t>对于由《企业会计准则第14号——收入》规范的交易形成的应收款项和合同资产，无论是否包含重大融资成分，本公司始终按照相当于整个存续期内预期信用损失的金额计量其损失准备。</w:t>
      </w:r>
    </w:p>
    <w:p w14:paraId="106889CE">
      <w:pPr>
        <w:spacing w:line="360" w:lineRule="auto"/>
        <w:ind w:firstLine="480" w:firstLineChars="200"/>
        <w:contextualSpacing/>
        <w:rPr>
          <w:sz w:val="24"/>
        </w:rPr>
      </w:pPr>
      <w:r>
        <w:rPr>
          <w:rFonts w:hint="eastAsia"/>
          <w:sz w:val="24"/>
        </w:rPr>
        <w:t>对于由《企业会计准则第21号——租赁》规范的交易形成的租赁应收款，本公司选择始终按照相当于整个存续期内预期信用损失的金额计量其损失准备。</w:t>
      </w:r>
    </w:p>
    <w:p w14:paraId="596DF1BF">
      <w:pPr>
        <w:spacing w:line="360" w:lineRule="auto"/>
        <w:ind w:firstLine="480" w:firstLineChars="200"/>
        <w:contextualSpacing/>
        <w:rPr>
          <w:sz w:val="24"/>
        </w:rPr>
      </w:pPr>
      <w:r>
        <w:rPr>
          <w:rFonts w:hint="eastAsia"/>
          <w:sz w:val="24"/>
        </w:rPr>
        <w:t>对于其他金融工具，本公司在每个资产负债表日评估相关金融工具的信用风险自初始确认后的变动情况。</w:t>
      </w:r>
    </w:p>
    <w:p w14:paraId="5029F344">
      <w:pPr>
        <w:spacing w:line="360" w:lineRule="auto"/>
        <w:ind w:firstLine="480" w:firstLineChars="200"/>
        <w:contextualSpacing/>
        <w:rPr>
          <w:sz w:val="24"/>
        </w:rPr>
      </w:pPr>
      <w:r>
        <w:rPr>
          <w:rFonts w:hint="eastAsia"/>
          <w:sz w:val="24"/>
        </w:rPr>
        <w:t>本公司通过比较金融工具在资产负债表日发生违约的风险与在初始确认日发生违约的风险，以确定金融工具预计存续期内发生违约风险的相对变化，以评估金融工具的信用风险自初始确认后是否已显著增加。通常逾期超过30日，本公司即认为该金融工具的信用风险已显著增加，除非有确凿证据证明该金融工具的信用风险自初始确认后并未显著增加。</w:t>
      </w:r>
    </w:p>
    <w:p w14:paraId="09C28418">
      <w:pPr>
        <w:spacing w:line="360" w:lineRule="auto"/>
        <w:ind w:firstLine="480" w:firstLineChars="200"/>
        <w:contextualSpacing/>
        <w:rPr>
          <w:sz w:val="24"/>
        </w:rPr>
      </w:pPr>
      <w:r>
        <w:rPr>
          <w:rFonts w:hint="eastAsia"/>
          <w:sz w:val="24"/>
        </w:rPr>
        <w:t>如果金融工具于资产负债表日的信用风险较低，本公司即认为该金融工具的信用风险自初始确认后并未显著增加。</w:t>
      </w:r>
    </w:p>
    <w:p w14:paraId="03912E2A">
      <w:pPr>
        <w:spacing w:line="360" w:lineRule="auto"/>
        <w:ind w:firstLine="480" w:firstLineChars="200"/>
        <w:contextualSpacing/>
        <w:rPr>
          <w:sz w:val="24"/>
        </w:rPr>
      </w:pPr>
      <w:r>
        <w:rPr>
          <w:rFonts w:hint="eastAsia"/>
          <w:sz w:val="24"/>
        </w:rPr>
        <w:t>如果该金融工具的信用风险自初始确认后已显著增加，本公司按照相当于该金融工具整个存续期内预期信用损失的金额计量其损失准备；如果该金融工具的信用风险自初始确认后并未显著增加，本公司按照相当于该金融工具未来12个月内预期信用损失的金额计量其损失准备。由此形成的损失准备的增加或转回金额，作为减值损失或利得计入当期损益。对于以公允价值计量且其变动计入其他综合收益的金融资产（债务工具），在其他综合收益中确认其损失准备，并将减值损失或利得计入当期损益，且不减少该金融资产在资产负债表中列示的账面价值。</w:t>
      </w:r>
    </w:p>
    <w:p w14:paraId="418517A1">
      <w:pPr>
        <w:spacing w:line="360" w:lineRule="auto"/>
        <w:ind w:firstLine="480" w:firstLineChars="200"/>
        <w:contextualSpacing/>
        <w:rPr>
          <w:sz w:val="24"/>
        </w:rPr>
      </w:pPr>
      <w:r>
        <w:rPr>
          <w:rFonts w:hint="eastAsia"/>
          <w:sz w:val="24"/>
        </w:rPr>
        <w:t>本公司不再合理预期金融资产合同现金流量能够全部或部分收回的，直接减记该金融资产的账面余额。</w:t>
      </w:r>
    </w:p>
    <w:p w14:paraId="71F36A8F">
      <w:pPr>
        <w:spacing w:line="360" w:lineRule="auto"/>
        <w:ind w:firstLine="482" w:firstLineChars="200"/>
        <w:contextualSpacing/>
        <w:rPr>
          <w:rFonts w:cs="Arial" w:asciiTheme="minorEastAsia" w:hAnsiTheme="minorEastAsia" w:eastAsiaTheme="minorEastAsia"/>
          <w:b/>
          <w:sz w:val="24"/>
          <w:shd w:val="clear" w:color="auto" w:fill="FFFFFF"/>
        </w:rPr>
      </w:pPr>
      <w:r>
        <w:rPr>
          <w:rFonts w:hint="eastAsia" w:cs="Arial" w:asciiTheme="minorEastAsia" w:hAnsiTheme="minorEastAsia" w:eastAsiaTheme="minorEastAsia"/>
          <w:b/>
          <w:sz w:val="24"/>
          <w:shd w:val="clear" w:color="auto" w:fill="FFFFFF"/>
        </w:rPr>
        <w:t>2、</w:t>
      </w:r>
      <w:r>
        <w:rPr>
          <w:rFonts w:cs="Arial" w:asciiTheme="minorEastAsia" w:hAnsiTheme="minorEastAsia" w:eastAsiaTheme="minorEastAsia"/>
          <w:b/>
          <w:sz w:val="24"/>
          <w:shd w:val="clear" w:color="auto" w:fill="FFFFFF"/>
        </w:rPr>
        <w:t>资产减值损失</w:t>
      </w:r>
    </w:p>
    <w:p w14:paraId="39D7A6EA">
      <w:pPr>
        <w:snapToGrid w:val="0"/>
        <w:spacing w:line="360" w:lineRule="auto"/>
        <w:ind w:firstLine="361" w:firstLineChars="150"/>
        <w:contextualSpacing/>
        <w:rPr>
          <w:rFonts w:asciiTheme="minorEastAsia" w:hAnsiTheme="minorEastAsia" w:eastAsiaTheme="minorEastAsia"/>
          <w:b/>
          <w:sz w:val="24"/>
        </w:rPr>
      </w:pPr>
      <w:r>
        <w:rPr>
          <w:rFonts w:hint="eastAsia" w:asciiTheme="minorEastAsia" w:hAnsiTheme="minorEastAsia" w:eastAsiaTheme="minorEastAsia"/>
          <w:b/>
          <w:sz w:val="24"/>
        </w:rPr>
        <w:t>（1）合同资产预期信用损失</w:t>
      </w:r>
    </w:p>
    <w:p w14:paraId="42D208DA">
      <w:pPr>
        <w:snapToGrid w:val="0"/>
        <w:spacing w:line="360" w:lineRule="auto"/>
        <w:ind w:firstLine="360" w:firstLineChars="150"/>
        <w:contextualSpacing/>
        <w:rPr>
          <w:rFonts w:asciiTheme="minorEastAsia" w:hAnsiTheme="minorEastAsia" w:eastAsiaTheme="minorEastAsia"/>
          <w:sz w:val="24"/>
        </w:rPr>
      </w:pPr>
      <w:r>
        <w:rPr>
          <w:rFonts w:hint="eastAsia" w:asciiTheme="minorEastAsia" w:hAnsiTheme="minorEastAsia" w:eastAsiaTheme="minorEastAsia"/>
          <w:sz w:val="24"/>
        </w:rPr>
        <w:t>合同资产的预期信用损失的确定方法及会计处理方法详见上述“1、金融工具减值”。</w:t>
      </w:r>
    </w:p>
    <w:p w14:paraId="481AC517">
      <w:pPr>
        <w:snapToGrid w:val="0"/>
        <w:spacing w:line="360" w:lineRule="auto"/>
        <w:ind w:firstLine="361" w:firstLineChars="150"/>
        <w:contextualSpacing/>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存货跌价</w:t>
      </w:r>
      <w:r>
        <w:rPr>
          <w:rFonts w:hint="eastAsia" w:asciiTheme="minorEastAsia" w:hAnsiTheme="minorEastAsia" w:eastAsiaTheme="minorEastAsia"/>
          <w:b/>
          <w:sz w:val="24"/>
        </w:rPr>
        <w:t>准备</w:t>
      </w:r>
    </w:p>
    <w:p w14:paraId="04E2180B">
      <w:pPr>
        <w:snapToGrid w:val="0"/>
        <w:spacing w:line="360" w:lineRule="auto"/>
        <w:ind w:firstLine="480" w:firstLineChars="200"/>
        <w:contextualSpacing/>
        <w:rPr>
          <w:rFonts w:asciiTheme="minorEastAsia" w:hAnsiTheme="minorEastAsia" w:eastAsiaTheme="minorEastAsia"/>
          <w:sz w:val="24"/>
        </w:rPr>
      </w:pPr>
      <w:r>
        <w:rPr>
          <w:rFonts w:hint="eastAsia" w:asciiTheme="minorEastAsia" w:hAnsiTheme="minorEastAsia" w:eastAsiaTheme="minorEastAsia"/>
          <w:sz w:val="24"/>
        </w:rPr>
        <w:t>资产负债表日，存货应当按照成本与可变现净值孰低计量。当存货成本高于其可变现净值的，应当计提存货跌价准备。可变现净值，是指在日常活动中，存货的估计售价减去至完工时估计将要发生的成本、估计的销售费用以及相关税费后的金额。</w:t>
      </w:r>
    </w:p>
    <w:p w14:paraId="674C0DCC">
      <w:pPr>
        <w:snapToGrid w:val="0"/>
        <w:spacing w:line="360" w:lineRule="auto"/>
        <w:ind w:firstLine="360" w:firstLineChars="150"/>
        <w:contextualSpacing/>
        <w:rPr>
          <w:rFonts w:asciiTheme="minorEastAsia" w:hAnsiTheme="minorEastAsia" w:eastAsiaTheme="minorEastAsia"/>
          <w:sz w:val="24"/>
        </w:rPr>
      </w:pPr>
      <w:r>
        <w:rPr>
          <w:rFonts w:hint="eastAsia" w:asciiTheme="minorEastAsia" w:hAnsiTheme="minorEastAsia" w:eastAsiaTheme="minorEastAsia"/>
          <w:sz w:val="24"/>
        </w:rPr>
        <w:t>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14:paraId="70D4F8F6">
      <w:pPr>
        <w:snapToGrid w:val="0"/>
        <w:spacing w:line="360" w:lineRule="auto"/>
        <w:ind w:firstLine="360" w:firstLineChars="150"/>
        <w:contextualSpacing/>
        <w:rPr>
          <w:rFonts w:asciiTheme="minorEastAsia" w:hAnsiTheme="minorEastAsia" w:eastAsiaTheme="minorEastAsia"/>
          <w:sz w:val="24"/>
        </w:rPr>
      </w:pPr>
      <w:r>
        <w:rPr>
          <w:rFonts w:hint="eastAsia" w:asciiTheme="minorEastAsia" w:hAnsiTheme="minorEastAsia" w:eastAsiaTheme="minorEastAsia"/>
          <w:sz w:val="24"/>
        </w:rPr>
        <w:t>计提存货跌价准备后，如果以前减记存货价值的影响因素已经消失，导致存货的可变现净值高于其账面价值的，在原已计提的存货跌价准备金额内予以转回，转回的金额计入当期损益。</w:t>
      </w:r>
    </w:p>
    <w:p w14:paraId="4E5C7A5E">
      <w:pPr>
        <w:snapToGrid w:val="0"/>
        <w:spacing w:line="360" w:lineRule="auto"/>
        <w:ind w:firstLine="361" w:firstLineChars="150"/>
        <w:contextualSpacing/>
        <w:rPr>
          <w:rFonts w:asciiTheme="minorEastAsia" w:hAnsiTheme="minorEastAsia" w:eastAsiaTheme="minorEastAsia"/>
          <w:b/>
          <w:sz w:val="24"/>
        </w:rPr>
      </w:pPr>
      <w:r>
        <w:rPr>
          <w:rFonts w:hint="eastAsia" w:asciiTheme="minorEastAsia" w:hAnsiTheme="minorEastAsia" w:eastAsiaTheme="minorEastAsia"/>
          <w:b/>
          <w:sz w:val="24"/>
        </w:rPr>
        <w:t>（</w:t>
      </w:r>
      <w:r>
        <w:rPr>
          <w:rFonts w:asciiTheme="minorEastAsia" w:hAnsiTheme="minorEastAsia" w:eastAsiaTheme="minorEastAsia"/>
          <w:b/>
          <w:sz w:val="24"/>
        </w:rPr>
        <w:t>3</w:t>
      </w:r>
      <w:r>
        <w:rPr>
          <w:rFonts w:hint="eastAsia" w:asciiTheme="minorEastAsia" w:hAnsiTheme="minorEastAsia" w:eastAsiaTheme="minorEastAsia"/>
          <w:b/>
          <w:sz w:val="24"/>
        </w:rPr>
        <w:t>）长期资产减值</w:t>
      </w:r>
    </w:p>
    <w:p w14:paraId="186A0E7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长期股权投资、采用成本模式计量的投资性房地产、固定资产、在建工程、使用权资产、使用寿命有限的无形资产、油气资产等长期资产，于资产负债表日存在减值迹象的，进行减值测试。减值测试结果表明资产的可收回金额低于其账面价值的，按其差额计提减值准备并计入减值损失。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14:paraId="0FBFE59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对于因企业合并形成的商誉、使用寿命不确定的无形资产、尚未达到可使用状态的无形资产，无论是否存在减值迹象，至少在每年年度终了进行减值测试。  </w:t>
      </w:r>
    </w:p>
    <w:p w14:paraId="36631DB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本公司进行商誉减值测试，对于因企业合并形成的商誉的账面价值，自购买日起按照合理的方法分摊至相关的资产组；难以分摊至相关的资产组的，将其分摊至相关的资产组组合。相关的资产组或者资产组组合，是能够从企业合并的协同效应中受益的资产组或者资产组组合。  </w:t>
      </w:r>
    </w:p>
    <w:p w14:paraId="314DDAC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然后对包含商誉的资产组或者资产组组合进行减值测试，比较其账面价值与可收回金额，如可收回金额低于账面价值的，减值损失金额首先抵减分摊至资产组或者资产组组合中商誉的账面价值，再根据资产组或者资产组组合中除商誉之外的其他各项资产的账面价值所占比重，按比例抵减其他各项资产的账面价值。</w:t>
      </w:r>
    </w:p>
    <w:p w14:paraId="794C9C99">
      <w:pPr>
        <w:spacing w:line="360" w:lineRule="auto"/>
        <w:rPr>
          <w:rFonts w:cs="Arial" w:asciiTheme="minorEastAsia" w:hAnsiTheme="minorEastAsia" w:eastAsiaTheme="minorEastAsia"/>
          <w:b/>
          <w:sz w:val="24"/>
          <w:shd w:val="clear" w:color="auto" w:fill="FFFFFF"/>
        </w:rPr>
      </w:pPr>
    </w:p>
    <w:p w14:paraId="7874EDC3">
      <w:pPr>
        <w:spacing w:line="360" w:lineRule="auto"/>
        <w:ind w:firstLine="482" w:firstLineChars="200"/>
        <w:rPr>
          <w:rFonts w:cs="Arial" w:asciiTheme="minorEastAsia" w:hAnsiTheme="minorEastAsia" w:eastAsiaTheme="minorEastAsia"/>
          <w:b/>
          <w:sz w:val="24"/>
          <w:shd w:val="clear" w:color="auto" w:fill="FFFFFF"/>
        </w:rPr>
      </w:pPr>
      <w:r>
        <w:rPr>
          <w:rFonts w:hint="eastAsia" w:cs="Arial" w:asciiTheme="minorEastAsia" w:hAnsiTheme="minorEastAsia" w:eastAsiaTheme="minorEastAsia"/>
          <w:b/>
          <w:sz w:val="24"/>
          <w:shd w:val="clear" w:color="auto" w:fill="FFFFFF"/>
        </w:rPr>
        <w:t>三</w:t>
      </w:r>
      <w:r>
        <w:rPr>
          <w:rFonts w:cs="Arial" w:asciiTheme="minorEastAsia" w:hAnsiTheme="minorEastAsia" w:eastAsiaTheme="minorEastAsia"/>
          <w:b/>
          <w:sz w:val="24"/>
          <w:shd w:val="clear" w:color="auto" w:fill="FFFFFF"/>
        </w:rPr>
        <w:t>、本次</w:t>
      </w:r>
      <w:r>
        <w:rPr>
          <w:rFonts w:hint="eastAsia" w:cs="Arial" w:asciiTheme="minorEastAsia" w:hAnsiTheme="minorEastAsia" w:eastAsiaTheme="minorEastAsia"/>
          <w:b/>
          <w:sz w:val="24"/>
          <w:shd w:val="clear" w:color="auto" w:fill="FFFFFF"/>
        </w:rPr>
        <w:t>拟</w:t>
      </w:r>
      <w:r>
        <w:rPr>
          <w:rFonts w:cs="Arial" w:asciiTheme="minorEastAsia" w:hAnsiTheme="minorEastAsia" w:eastAsiaTheme="minorEastAsia"/>
          <w:b/>
          <w:sz w:val="24"/>
          <w:shd w:val="clear" w:color="auto" w:fill="FFFFFF"/>
        </w:rPr>
        <w:t>计提减值准备对公司的影响</w:t>
      </w:r>
    </w:p>
    <w:p w14:paraId="62ADA02F">
      <w:pPr>
        <w:spacing w:line="360" w:lineRule="auto"/>
        <w:ind w:firstLine="480" w:firstLineChars="200"/>
        <w:rPr>
          <w:rFonts w:ascii="Times New Roman" w:hAnsi="Times New Roman" w:cs="Arial" w:eastAsiaTheme="minorEastAsia"/>
          <w:sz w:val="24"/>
          <w:shd w:val="clear" w:color="auto" w:fill="FFFFFF"/>
        </w:rPr>
      </w:pPr>
      <w:r>
        <w:rPr>
          <w:rFonts w:hint="eastAsia" w:ascii="Times New Roman" w:hAnsi="Times New Roman" w:cs="Arial" w:eastAsiaTheme="minorEastAsia"/>
          <w:sz w:val="24"/>
          <w:shd w:val="clear" w:color="auto" w:fill="FFFFFF"/>
        </w:rPr>
        <w:t>公司</w:t>
      </w:r>
      <w:r>
        <w:rPr>
          <w:rFonts w:ascii="Times New Roman" w:hAnsi="Times New Roman" w:cs="Arial" w:eastAsiaTheme="minorEastAsia"/>
          <w:sz w:val="24"/>
          <w:shd w:val="clear" w:color="auto" w:fill="FFFFFF"/>
        </w:rPr>
        <w:t>2024</w:t>
      </w:r>
      <w:r>
        <w:rPr>
          <w:rFonts w:hint="eastAsia" w:ascii="Times New Roman" w:hAnsi="Times New Roman" w:cs="Arial" w:eastAsiaTheme="minorEastAsia"/>
          <w:sz w:val="24"/>
          <w:shd w:val="clear" w:color="auto" w:fill="FFFFFF"/>
        </w:rPr>
        <w:t>年拟计提各项减值准备金额合计约</w:t>
      </w:r>
      <w:r>
        <w:rPr>
          <w:rFonts w:ascii="Times New Roman" w:hAnsi="Times New Roman" w:cs="Arial" w:eastAsiaTheme="minorEastAsia"/>
          <w:sz w:val="24"/>
          <w:shd w:val="clear" w:color="auto" w:fill="FFFFFF"/>
        </w:rPr>
        <w:t>7,282.36</w:t>
      </w:r>
      <w:r>
        <w:rPr>
          <w:rFonts w:hint="eastAsia" w:ascii="Times New Roman" w:hAnsi="Times New Roman" w:cs="Arial" w:eastAsiaTheme="minorEastAsia"/>
          <w:sz w:val="24"/>
          <w:shd w:val="clear" w:color="auto" w:fill="FFFFFF"/>
        </w:rPr>
        <w:t>万元，预计将减少</w:t>
      </w:r>
      <w:r>
        <w:rPr>
          <w:rFonts w:ascii="Times New Roman" w:hAnsi="Times New Roman" w:cs="Arial" w:eastAsiaTheme="minorEastAsia"/>
          <w:sz w:val="24"/>
          <w:shd w:val="clear" w:color="auto" w:fill="FFFFFF"/>
        </w:rPr>
        <w:t>2024</w:t>
      </w:r>
      <w:r>
        <w:rPr>
          <w:rFonts w:hint="eastAsia" w:ascii="Times New Roman" w:hAnsi="Times New Roman" w:cs="Arial" w:eastAsiaTheme="minorEastAsia"/>
          <w:sz w:val="24"/>
          <w:shd w:val="clear" w:color="auto" w:fill="FFFFFF"/>
        </w:rPr>
        <w:t>年度归属于母公司所有者的净利润</w:t>
      </w:r>
      <w:r>
        <w:rPr>
          <w:rFonts w:ascii="Times New Roman" w:hAnsi="Times New Roman" w:cs="Arial" w:eastAsiaTheme="minorEastAsia"/>
          <w:sz w:val="24"/>
          <w:shd w:val="clear" w:color="auto" w:fill="FFFFFF"/>
        </w:rPr>
        <w:t>6,586.02</w:t>
      </w:r>
      <w:r>
        <w:rPr>
          <w:rFonts w:hint="eastAsia" w:ascii="Times New Roman" w:hAnsi="Times New Roman" w:cs="Arial" w:eastAsiaTheme="minorEastAsia"/>
          <w:sz w:val="24"/>
          <w:shd w:val="clear" w:color="auto" w:fill="FFFFFF"/>
        </w:rPr>
        <w:t>万元，减少</w:t>
      </w:r>
      <w:r>
        <w:rPr>
          <w:rFonts w:ascii="Times New Roman" w:hAnsi="Times New Roman" w:cs="Arial" w:eastAsiaTheme="minorEastAsia"/>
          <w:sz w:val="24"/>
          <w:shd w:val="clear" w:color="auto" w:fill="FFFFFF"/>
        </w:rPr>
        <w:t>2024</w:t>
      </w:r>
      <w:r>
        <w:rPr>
          <w:rFonts w:hint="eastAsia" w:ascii="Times New Roman" w:hAnsi="Times New Roman" w:cs="Arial" w:eastAsiaTheme="minorEastAsia"/>
          <w:sz w:val="24"/>
          <w:shd w:val="clear" w:color="auto" w:fill="FFFFFF"/>
        </w:rPr>
        <w:t>年</w:t>
      </w:r>
      <w:r>
        <w:rPr>
          <w:rFonts w:ascii="Times New Roman" w:hAnsi="Times New Roman" w:cs="Arial" w:eastAsiaTheme="minorEastAsia"/>
          <w:sz w:val="24"/>
          <w:shd w:val="clear" w:color="auto" w:fill="FFFFFF"/>
        </w:rPr>
        <w:t>12</w:t>
      </w:r>
      <w:r>
        <w:rPr>
          <w:rFonts w:hint="eastAsia" w:ascii="Times New Roman" w:hAnsi="Times New Roman" w:cs="Arial" w:eastAsiaTheme="minorEastAsia"/>
          <w:sz w:val="24"/>
          <w:shd w:val="clear" w:color="auto" w:fill="FFFFFF"/>
        </w:rPr>
        <w:t>月</w:t>
      </w:r>
      <w:r>
        <w:rPr>
          <w:rFonts w:ascii="Times New Roman" w:hAnsi="Times New Roman" w:cs="Arial" w:eastAsiaTheme="minorEastAsia"/>
          <w:sz w:val="24"/>
          <w:shd w:val="clear" w:color="auto" w:fill="FFFFFF"/>
        </w:rPr>
        <w:t>31</w:t>
      </w:r>
      <w:r>
        <w:rPr>
          <w:rFonts w:hint="eastAsia" w:ascii="Times New Roman" w:hAnsi="Times New Roman" w:cs="Arial" w:eastAsiaTheme="minorEastAsia"/>
          <w:sz w:val="24"/>
          <w:shd w:val="clear" w:color="auto" w:fill="FFFFFF"/>
        </w:rPr>
        <w:t>日归属于母公司的所有者权益</w:t>
      </w:r>
      <w:r>
        <w:rPr>
          <w:rFonts w:ascii="Times New Roman" w:hAnsi="Times New Roman" w:cs="Arial" w:eastAsiaTheme="minorEastAsia"/>
          <w:sz w:val="24"/>
          <w:shd w:val="clear" w:color="auto" w:fill="FFFFFF"/>
        </w:rPr>
        <w:t>6,586.02</w:t>
      </w:r>
      <w:r>
        <w:rPr>
          <w:rFonts w:hint="eastAsia" w:ascii="Times New Roman" w:hAnsi="Times New Roman" w:cs="Arial" w:eastAsiaTheme="minorEastAsia"/>
          <w:sz w:val="24"/>
          <w:shd w:val="clear" w:color="auto" w:fill="FFFFFF"/>
        </w:rPr>
        <w:t>万元。最终计提的</w:t>
      </w:r>
      <w:r>
        <w:rPr>
          <w:rFonts w:ascii="Times New Roman" w:hAnsi="Times New Roman" w:cs="Arial" w:eastAsiaTheme="minorEastAsia"/>
          <w:sz w:val="24"/>
          <w:shd w:val="clear" w:color="auto" w:fill="FFFFFF"/>
        </w:rPr>
        <w:t>2024</w:t>
      </w:r>
      <w:r>
        <w:rPr>
          <w:rFonts w:hint="eastAsia" w:ascii="Times New Roman" w:hAnsi="Times New Roman" w:cs="Arial" w:eastAsiaTheme="minorEastAsia"/>
          <w:sz w:val="24"/>
          <w:shd w:val="clear" w:color="auto" w:fill="FFFFFF"/>
        </w:rPr>
        <w:t>年度减值准备金额以会计师事务所审计结果为准。</w:t>
      </w:r>
    </w:p>
    <w:p w14:paraId="7A91B358">
      <w:pPr>
        <w:spacing w:line="360" w:lineRule="auto"/>
        <w:ind w:firstLine="480" w:firstLineChars="200"/>
        <w:rPr>
          <w:rFonts w:cs="Arial" w:asciiTheme="minorEastAsia" w:hAnsiTheme="minorEastAsia" w:eastAsiaTheme="minorEastAsia"/>
          <w:sz w:val="24"/>
          <w:shd w:val="clear" w:color="auto" w:fill="FFFFFF"/>
        </w:rPr>
      </w:pPr>
    </w:p>
    <w:p w14:paraId="69A32E95">
      <w:pPr>
        <w:spacing w:line="360" w:lineRule="auto"/>
        <w:ind w:firstLine="482" w:firstLineChars="200"/>
        <w:rPr>
          <w:rFonts w:cs="Arial" w:asciiTheme="minorEastAsia" w:hAnsiTheme="minorEastAsia" w:eastAsiaTheme="minorEastAsia"/>
          <w:b/>
          <w:bCs/>
          <w:sz w:val="24"/>
          <w:shd w:val="clear" w:color="auto" w:fill="FFFFFF"/>
        </w:rPr>
      </w:pPr>
      <w:r>
        <w:rPr>
          <w:rFonts w:hint="eastAsia" w:cs="Arial" w:asciiTheme="minorEastAsia" w:hAnsiTheme="minorEastAsia" w:eastAsiaTheme="minorEastAsia"/>
          <w:b/>
          <w:bCs/>
          <w:sz w:val="24"/>
          <w:shd w:val="clear" w:color="auto" w:fill="FFFFFF"/>
        </w:rPr>
        <w:t>四、风险提示</w:t>
      </w:r>
      <w:r>
        <w:rPr>
          <w:rFonts w:cs="Arial" w:asciiTheme="minorEastAsia" w:hAnsiTheme="minorEastAsia" w:eastAsiaTheme="minorEastAsia"/>
          <w:b/>
          <w:bCs/>
          <w:sz w:val="24"/>
          <w:shd w:val="clear" w:color="auto" w:fill="FFFFFF"/>
        </w:rPr>
        <w:tab/>
      </w:r>
    </w:p>
    <w:p w14:paraId="2BF822E2">
      <w:pPr>
        <w:numPr>
          <w:ilvl w:val="255"/>
          <w:numId w:val="0"/>
        </w:numPr>
        <w:spacing w:line="360" w:lineRule="auto"/>
        <w:ind w:firstLine="480" w:firstLineChars="200"/>
        <w:rPr>
          <w:rFonts w:cs="Arial" w:asciiTheme="minorEastAsia" w:hAnsiTheme="minorEastAsia" w:eastAsiaTheme="minorEastAsia"/>
          <w:sz w:val="24"/>
          <w:shd w:val="clear" w:color="auto" w:fill="FFFFFF"/>
        </w:rPr>
      </w:pPr>
      <w:r>
        <w:rPr>
          <w:rFonts w:hint="eastAsia" w:cs="Arial" w:asciiTheme="minorEastAsia" w:hAnsiTheme="minorEastAsia" w:eastAsiaTheme="minorEastAsia"/>
          <w:sz w:val="24"/>
          <w:shd w:val="clear" w:color="auto" w:fill="FFFFFF"/>
        </w:rPr>
        <w:t>本次拟计提减值准备金额为公司初步测算结果，</w:t>
      </w:r>
      <w:r>
        <w:rPr>
          <w:rFonts w:hint="eastAsia" w:asciiTheme="minorEastAsia" w:hAnsiTheme="minorEastAsia"/>
          <w:sz w:val="24"/>
        </w:rPr>
        <w:t>公司已就有关事项与年度审计会计师事务所进行了预沟通</w:t>
      </w:r>
      <w:r>
        <w:rPr>
          <w:rFonts w:hint="eastAsia" w:cs="Arial" w:asciiTheme="minorEastAsia" w:hAnsiTheme="minorEastAsia" w:eastAsiaTheme="minorEastAsia"/>
          <w:sz w:val="24"/>
          <w:shd w:val="clear" w:color="auto" w:fill="FFFFFF"/>
        </w:rPr>
        <w:t>，但数据未经会计师事务所审计，最终数据将以会计师事务所出具的年度审计报告为准。敬请广大投资者注意投资风险。</w:t>
      </w:r>
    </w:p>
    <w:p w14:paraId="5786A4B2">
      <w:pPr>
        <w:spacing w:line="360" w:lineRule="auto"/>
        <w:rPr>
          <w:rFonts w:cs="Arial" w:asciiTheme="minorEastAsia" w:hAnsiTheme="minorEastAsia" w:eastAsiaTheme="minorEastAsia"/>
          <w:sz w:val="24"/>
          <w:shd w:val="clear" w:color="auto" w:fill="FFFFFF"/>
        </w:rPr>
      </w:pPr>
    </w:p>
    <w:p w14:paraId="0CA6A525">
      <w:pPr>
        <w:spacing w:line="360" w:lineRule="auto"/>
        <w:ind w:firstLine="480" w:firstLineChars="200"/>
        <w:rPr>
          <w:rFonts w:cs="Arial" w:asciiTheme="minorEastAsia" w:hAnsiTheme="minorEastAsia" w:eastAsiaTheme="minorEastAsia"/>
          <w:sz w:val="24"/>
          <w:shd w:val="clear" w:color="auto" w:fill="FFFFFF"/>
        </w:rPr>
      </w:pPr>
      <w:r>
        <w:rPr>
          <w:rFonts w:hint="eastAsia" w:cs="Arial" w:asciiTheme="minorEastAsia" w:hAnsiTheme="minorEastAsia" w:eastAsiaTheme="minorEastAsia"/>
          <w:sz w:val="24"/>
          <w:shd w:val="clear" w:color="auto" w:fill="FFFFFF"/>
        </w:rPr>
        <w:t>特此</w:t>
      </w:r>
      <w:r>
        <w:rPr>
          <w:rFonts w:cs="Arial" w:asciiTheme="minorEastAsia" w:hAnsiTheme="minorEastAsia" w:eastAsiaTheme="minorEastAsia"/>
          <w:sz w:val="24"/>
          <w:shd w:val="clear" w:color="auto" w:fill="FFFFFF"/>
        </w:rPr>
        <w:t>公告。</w:t>
      </w:r>
    </w:p>
    <w:p w14:paraId="3E77D653">
      <w:pPr>
        <w:spacing w:line="360" w:lineRule="auto"/>
        <w:ind w:firstLine="4840" w:firstLineChars="2009"/>
        <w:rPr>
          <w:rFonts w:hint="eastAsia" w:asciiTheme="minorEastAsia" w:hAnsiTheme="minorEastAsia"/>
          <w:b/>
          <w:sz w:val="24"/>
        </w:rPr>
      </w:pPr>
    </w:p>
    <w:p w14:paraId="0F8D9C21">
      <w:pPr>
        <w:spacing w:line="360" w:lineRule="auto"/>
        <w:ind w:firstLine="4840" w:firstLineChars="2009"/>
        <w:rPr>
          <w:rFonts w:hint="eastAsia" w:asciiTheme="minorEastAsia" w:hAnsiTheme="minorEastAsia"/>
          <w:b/>
          <w:sz w:val="24"/>
        </w:rPr>
      </w:pPr>
    </w:p>
    <w:p w14:paraId="75EA3696">
      <w:pPr>
        <w:spacing w:line="360" w:lineRule="auto"/>
        <w:ind w:firstLine="4840" w:firstLineChars="2009"/>
        <w:rPr>
          <w:rFonts w:asciiTheme="minorEastAsia" w:hAnsiTheme="minorEastAsia"/>
          <w:b/>
          <w:sz w:val="24"/>
        </w:rPr>
      </w:pPr>
      <w:r>
        <w:rPr>
          <w:rFonts w:hint="eastAsia" w:asciiTheme="minorEastAsia" w:hAnsiTheme="minorEastAsia"/>
          <w:b/>
          <w:sz w:val="24"/>
        </w:rPr>
        <w:t>东莞铭普光磁股份有限公司</w:t>
      </w:r>
    </w:p>
    <w:p w14:paraId="5644FFB0">
      <w:pPr>
        <w:spacing w:line="360" w:lineRule="auto"/>
        <w:ind w:firstLine="5804" w:firstLineChars="2409"/>
        <w:rPr>
          <w:rFonts w:asciiTheme="minorEastAsia" w:hAnsiTheme="minorEastAsia"/>
          <w:b/>
          <w:sz w:val="24"/>
        </w:rPr>
      </w:pPr>
      <w:r>
        <w:rPr>
          <w:rFonts w:hint="eastAsia" w:asciiTheme="minorEastAsia" w:hAnsiTheme="minorEastAsia"/>
          <w:b/>
          <w:sz w:val="24"/>
        </w:rPr>
        <w:t>董事会</w:t>
      </w:r>
    </w:p>
    <w:p w14:paraId="79756810">
      <w:pPr>
        <w:spacing w:line="360" w:lineRule="auto"/>
        <w:rPr>
          <w:rFonts w:asciiTheme="minorEastAsia" w:hAnsiTheme="minorEastAsia"/>
          <w:b/>
          <w:sz w:val="24"/>
        </w:rPr>
      </w:pPr>
      <w:r>
        <w:rPr>
          <w:rFonts w:hint="eastAsia" w:asciiTheme="minorEastAsia" w:hAnsiTheme="minorEastAsia"/>
          <w:b/>
          <w:sz w:val="24"/>
        </w:rPr>
        <w:t xml:space="preserve">                                           2025年1月18日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982501"/>
    </w:sdtPr>
    <w:sdtContent>
      <w:p w14:paraId="394EA528">
        <w:pPr>
          <w:pStyle w:val="4"/>
          <w:jc w:val="center"/>
        </w:pPr>
        <w:r>
          <w:fldChar w:fldCharType="begin"/>
        </w:r>
        <w:r>
          <w:instrText xml:space="preserve">PAGE   \* MERGEFORMAT</w:instrText>
        </w:r>
        <w:r>
          <w:fldChar w:fldCharType="separate"/>
        </w:r>
        <w:r>
          <w:rPr>
            <w:lang w:val="zh-CN"/>
          </w:rPr>
          <w:t>2</w:t>
        </w:r>
        <w:r>
          <w:fldChar w:fldCharType="end"/>
        </w:r>
      </w:p>
    </w:sdtContent>
  </w:sdt>
  <w:p w14:paraId="01F458B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0B7D2"/>
    <w:multiLevelType w:val="singleLevel"/>
    <w:tmpl w:val="6970B7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yYTg3NWQwNjJjNTRlMjI0NzU4YzM5YWIyMDkxZjYifQ=="/>
  </w:docVars>
  <w:rsids>
    <w:rsidRoot w:val="00333C89"/>
    <w:rsid w:val="000257B2"/>
    <w:rsid w:val="00064A5C"/>
    <w:rsid w:val="00073CCC"/>
    <w:rsid w:val="000847D6"/>
    <w:rsid w:val="000A79CD"/>
    <w:rsid w:val="000B582F"/>
    <w:rsid w:val="001047BB"/>
    <w:rsid w:val="001245B2"/>
    <w:rsid w:val="001302C2"/>
    <w:rsid w:val="001647C2"/>
    <w:rsid w:val="0016537D"/>
    <w:rsid w:val="00167F59"/>
    <w:rsid w:val="00174A92"/>
    <w:rsid w:val="00177E00"/>
    <w:rsid w:val="0019171E"/>
    <w:rsid w:val="001C3BAC"/>
    <w:rsid w:val="0020161B"/>
    <w:rsid w:val="00204506"/>
    <w:rsid w:val="002067AA"/>
    <w:rsid w:val="002149CF"/>
    <w:rsid w:val="0030681A"/>
    <w:rsid w:val="00313C00"/>
    <w:rsid w:val="00322E32"/>
    <w:rsid w:val="00333C89"/>
    <w:rsid w:val="00340C05"/>
    <w:rsid w:val="00340F7C"/>
    <w:rsid w:val="00344EAB"/>
    <w:rsid w:val="00384197"/>
    <w:rsid w:val="003875E3"/>
    <w:rsid w:val="003949CD"/>
    <w:rsid w:val="003A6C5A"/>
    <w:rsid w:val="003A762A"/>
    <w:rsid w:val="003C1A93"/>
    <w:rsid w:val="00411E52"/>
    <w:rsid w:val="0044775A"/>
    <w:rsid w:val="00455FBC"/>
    <w:rsid w:val="0047229D"/>
    <w:rsid w:val="00491E7C"/>
    <w:rsid w:val="00492F0A"/>
    <w:rsid w:val="004C1E0B"/>
    <w:rsid w:val="004D48F7"/>
    <w:rsid w:val="004E5A4F"/>
    <w:rsid w:val="00514423"/>
    <w:rsid w:val="00554D62"/>
    <w:rsid w:val="00561328"/>
    <w:rsid w:val="005765B1"/>
    <w:rsid w:val="005A7148"/>
    <w:rsid w:val="005C1A7F"/>
    <w:rsid w:val="005D26BD"/>
    <w:rsid w:val="005D5FF0"/>
    <w:rsid w:val="005E29DC"/>
    <w:rsid w:val="005F2892"/>
    <w:rsid w:val="00603F2C"/>
    <w:rsid w:val="006050A4"/>
    <w:rsid w:val="00616BAE"/>
    <w:rsid w:val="006425EF"/>
    <w:rsid w:val="006B4099"/>
    <w:rsid w:val="006C7BE9"/>
    <w:rsid w:val="00730CAF"/>
    <w:rsid w:val="00731C90"/>
    <w:rsid w:val="00765439"/>
    <w:rsid w:val="00792C4A"/>
    <w:rsid w:val="007971A4"/>
    <w:rsid w:val="007B02D3"/>
    <w:rsid w:val="007C0A0C"/>
    <w:rsid w:val="007C5330"/>
    <w:rsid w:val="008033B7"/>
    <w:rsid w:val="008379CB"/>
    <w:rsid w:val="00841E85"/>
    <w:rsid w:val="00872BA9"/>
    <w:rsid w:val="00872D96"/>
    <w:rsid w:val="00885760"/>
    <w:rsid w:val="008A1CFA"/>
    <w:rsid w:val="008B0304"/>
    <w:rsid w:val="008B1F57"/>
    <w:rsid w:val="008D0BB4"/>
    <w:rsid w:val="008D2F47"/>
    <w:rsid w:val="009261A9"/>
    <w:rsid w:val="00944D33"/>
    <w:rsid w:val="00954B36"/>
    <w:rsid w:val="00967032"/>
    <w:rsid w:val="00970480"/>
    <w:rsid w:val="009710DA"/>
    <w:rsid w:val="0099626C"/>
    <w:rsid w:val="009B1C8C"/>
    <w:rsid w:val="009B661B"/>
    <w:rsid w:val="009E7127"/>
    <w:rsid w:val="009F124A"/>
    <w:rsid w:val="00A01C4C"/>
    <w:rsid w:val="00A167AF"/>
    <w:rsid w:val="00A565FC"/>
    <w:rsid w:val="00A602E1"/>
    <w:rsid w:val="00A73034"/>
    <w:rsid w:val="00A82B81"/>
    <w:rsid w:val="00AA39FA"/>
    <w:rsid w:val="00AE305F"/>
    <w:rsid w:val="00AF5C32"/>
    <w:rsid w:val="00B03849"/>
    <w:rsid w:val="00B04E7C"/>
    <w:rsid w:val="00B25CF8"/>
    <w:rsid w:val="00B540A3"/>
    <w:rsid w:val="00B72F1B"/>
    <w:rsid w:val="00B92A1A"/>
    <w:rsid w:val="00BA480E"/>
    <w:rsid w:val="00BF4F8B"/>
    <w:rsid w:val="00C04260"/>
    <w:rsid w:val="00C17FE1"/>
    <w:rsid w:val="00C31251"/>
    <w:rsid w:val="00C51855"/>
    <w:rsid w:val="00C539CF"/>
    <w:rsid w:val="00C54025"/>
    <w:rsid w:val="00C71109"/>
    <w:rsid w:val="00C731DD"/>
    <w:rsid w:val="00C8210D"/>
    <w:rsid w:val="00C83B3A"/>
    <w:rsid w:val="00C87AD6"/>
    <w:rsid w:val="00CA20D5"/>
    <w:rsid w:val="00CA4AAE"/>
    <w:rsid w:val="00CA7E8A"/>
    <w:rsid w:val="00CB4914"/>
    <w:rsid w:val="00CB4B69"/>
    <w:rsid w:val="00CF301B"/>
    <w:rsid w:val="00D05D3C"/>
    <w:rsid w:val="00D05FA8"/>
    <w:rsid w:val="00D52907"/>
    <w:rsid w:val="00D754B0"/>
    <w:rsid w:val="00D82E28"/>
    <w:rsid w:val="00D849CD"/>
    <w:rsid w:val="00D86B6D"/>
    <w:rsid w:val="00E012B5"/>
    <w:rsid w:val="00E21439"/>
    <w:rsid w:val="00E311D1"/>
    <w:rsid w:val="00E41EF2"/>
    <w:rsid w:val="00E54AF8"/>
    <w:rsid w:val="00E91B02"/>
    <w:rsid w:val="00EB366F"/>
    <w:rsid w:val="00ED1ECF"/>
    <w:rsid w:val="00EF79F0"/>
    <w:rsid w:val="00F0299B"/>
    <w:rsid w:val="00F214F4"/>
    <w:rsid w:val="00F428F1"/>
    <w:rsid w:val="00F75B2B"/>
    <w:rsid w:val="00FA075B"/>
    <w:rsid w:val="00FC6A17"/>
    <w:rsid w:val="00FD1C8B"/>
    <w:rsid w:val="06620872"/>
    <w:rsid w:val="0AB03261"/>
    <w:rsid w:val="10A76534"/>
    <w:rsid w:val="1287598E"/>
    <w:rsid w:val="18026D78"/>
    <w:rsid w:val="1E312EFF"/>
    <w:rsid w:val="1F7B48ED"/>
    <w:rsid w:val="1FE4555E"/>
    <w:rsid w:val="30AE1583"/>
    <w:rsid w:val="35855E0C"/>
    <w:rsid w:val="38D76045"/>
    <w:rsid w:val="3CF40D44"/>
    <w:rsid w:val="3E040A8A"/>
    <w:rsid w:val="4025316D"/>
    <w:rsid w:val="414747EE"/>
    <w:rsid w:val="44EC107E"/>
    <w:rsid w:val="44F77262"/>
    <w:rsid w:val="465B695F"/>
    <w:rsid w:val="4C0D377C"/>
    <w:rsid w:val="4DA53B33"/>
    <w:rsid w:val="51F25942"/>
    <w:rsid w:val="54A16445"/>
    <w:rsid w:val="55604007"/>
    <w:rsid w:val="592B78C4"/>
    <w:rsid w:val="5AA961FD"/>
    <w:rsid w:val="5F6B0364"/>
    <w:rsid w:val="601C29C7"/>
    <w:rsid w:val="603423E4"/>
    <w:rsid w:val="64815E67"/>
    <w:rsid w:val="64981AFF"/>
    <w:rsid w:val="68DA5583"/>
    <w:rsid w:val="76B63E30"/>
    <w:rsid w:val="7A2228B0"/>
    <w:rsid w:val="7DFB778A"/>
    <w:rsid w:val="7E663674"/>
    <w:rsid w:val="7F4C7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autoRedefine/>
    <w:semiHidden/>
    <w:unhideWhenUsed/>
    <w:qFormat/>
    <w:uiPriority w:val="99"/>
    <w:rPr>
      <w:b/>
      <w:bCs/>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semiHidden/>
    <w:unhideWhenUsed/>
    <w:qFormat/>
    <w:uiPriority w:val="99"/>
    <w:rPr>
      <w:sz w:val="21"/>
      <w:szCs w:val="21"/>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paragraph" w:styleId="13">
    <w:name w:val="List Paragraph"/>
    <w:basedOn w:val="1"/>
    <w:link w:val="15"/>
    <w:autoRedefine/>
    <w:qFormat/>
    <w:uiPriority w:val="34"/>
    <w:pPr>
      <w:ind w:firstLine="420" w:firstLineChars="200"/>
    </w:pPr>
  </w:style>
  <w:style w:type="character" w:customStyle="1" w:styleId="14">
    <w:name w:val="批注框文本 字符"/>
    <w:basedOn w:val="9"/>
    <w:link w:val="3"/>
    <w:autoRedefine/>
    <w:semiHidden/>
    <w:qFormat/>
    <w:uiPriority w:val="99"/>
    <w:rPr>
      <w:rFonts w:ascii="Times New Roman" w:hAnsi="Times New Roman" w:eastAsia="宋体" w:cs="Times New Roman"/>
      <w:sz w:val="18"/>
      <w:szCs w:val="18"/>
    </w:rPr>
  </w:style>
  <w:style w:type="character" w:customStyle="1" w:styleId="15">
    <w:name w:val="列表段落 字符"/>
    <w:link w:val="13"/>
    <w:autoRedefine/>
    <w:qFormat/>
    <w:uiPriority w:val="34"/>
    <w:rPr>
      <w:rFonts w:ascii="Times New Roman" w:hAnsi="Times New Roman" w:eastAsia="宋体" w:cs="Times New Roman"/>
      <w:szCs w:val="24"/>
    </w:rPr>
  </w:style>
  <w:style w:type="paragraph" w:customStyle="1" w:styleId="16">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批注文字 字符"/>
    <w:basedOn w:val="9"/>
    <w:link w:val="2"/>
    <w:autoRedefine/>
    <w:semiHidden/>
    <w:qFormat/>
    <w:uiPriority w:val="99"/>
    <w:rPr>
      <w:rFonts w:ascii="Times New Roman" w:hAnsi="Times New Roman" w:eastAsia="宋体" w:cs="Times New Roman"/>
      <w:szCs w:val="24"/>
    </w:rPr>
  </w:style>
  <w:style w:type="character" w:customStyle="1" w:styleId="18">
    <w:name w:val="批注主题 字符"/>
    <w:basedOn w:val="17"/>
    <w:link w:val="6"/>
    <w:autoRedefine/>
    <w:semiHidden/>
    <w:qFormat/>
    <w:uiPriority w:val="99"/>
    <w:rPr>
      <w:rFonts w:ascii="Times New Roman" w:hAnsi="Times New Roman" w:eastAsia="宋体" w:cs="Times New Roman"/>
      <w:b/>
      <w:bCs/>
      <w:szCs w:val="24"/>
    </w:rPr>
  </w:style>
  <w:style w:type="paragraph" w:customStyle="1" w:styleId="1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BBE50-8137-4F5D-81D6-2E5F3E9E1E6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2883</Words>
  <Characters>2988</Characters>
  <Lines>22</Lines>
  <Paragraphs>6</Paragraphs>
  <TotalTime>13</TotalTime>
  <ScaleCrop>false</ScaleCrop>
  <LinksUpToDate>false</LinksUpToDate>
  <CharactersWithSpaces>3053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2025-01-17T08:43:00Z</dcterms:created>
  <dc:creator>舒丹</dc:creator>
  <cp:lastModifiedBy>WPS_477959835</cp:lastModifiedBy>
  <cp:lastPrinted>2021-04-22T07:47:00Z</cp:lastPrinted>
  <dcterms:modified xsi:type="dcterms:W3CDTF">2025-01-17T09:46:22Z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E1292E7B495D402196D11FF0ACE78A94_12</vt:lpwstr>
  </property>
  <property fmtid="{D5CDD505-2E9C-101B-9397-08002B2CF9AE}" pid="4" name="KSOTemplateDocerSaveRecord">
    <vt:lpwstr>eyJoZGlkIjoiODlhYmE1MzQ4NzRlYjUyNWI2Yzc4ZTAxNzZhZWFmNTciLCJ1c2VySWQiOiI0Nzc5NTk4MzUifQ==</vt:lpwstr>
  </property>
</Properties>
</file>