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5A51">
      <w:pPr>
        <w:spacing w:line="360" w:lineRule="auto"/>
        <w:rPr>
          <w:rFonts w:hint="default" w:ascii="宋体" w:hAnsi="宋体" w:eastAsia="宋体"/>
          <w:b/>
          <w:sz w:val="24"/>
          <w:lang w:val="en-US" w:eastAsia="zh-CN"/>
        </w:rPr>
      </w:pPr>
      <w:r>
        <w:rPr>
          <w:rFonts w:hint="eastAsia" w:ascii="宋体" w:hAnsi="宋体"/>
          <w:b/>
          <w:sz w:val="24"/>
        </w:rPr>
        <w:t>证券代码：002902</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证券简称：铭普光磁 </w:t>
      </w:r>
      <w:r>
        <w:rPr>
          <w:rFonts w:ascii="宋体" w:hAnsi="宋体"/>
          <w:b/>
          <w:sz w:val="24"/>
        </w:rPr>
        <w:t xml:space="preserve">        </w:t>
      </w:r>
      <w:r>
        <w:rPr>
          <w:rFonts w:hint="eastAsia" w:ascii="宋体" w:hAnsi="宋体"/>
          <w:b/>
          <w:sz w:val="24"/>
        </w:rPr>
        <w:t>公告编</w:t>
      </w:r>
      <w:bookmarkStart w:id="1" w:name="_GoBack"/>
      <w:r>
        <w:rPr>
          <w:rFonts w:hint="eastAsia" w:ascii="宋体" w:hAnsi="宋体"/>
          <w:b/>
          <w:sz w:val="24"/>
        </w:rPr>
        <w:t>号：</w:t>
      </w:r>
      <w:r>
        <w:rPr>
          <w:rFonts w:ascii="宋体" w:hAnsi="宋体"/>
          <w:b/>
          <w:sz w:val="24"/>
        </w:rPr>
        <w:t>202</w:t>
      </w:r>
      <w:r>
        <w:rPr>
          <w:rFonts w:hint="eastAsia" w:ascii="宋体" w:hAnsi="宋体"/>
          <w:b/>
          <w:sz w:val="24"/>
          <w:lang w:val="en-US" w:eastAsia="zh-CN"/>
        </w:rPr>
        <w:t>5</w:t>
      </w:r>
      <w:r>
        <w:rPr>
          <w:rFonts w:ascii="宋体" w:hAnsi="宋体"/>
          <w:b/>
          <w:sz w:val="24"/>
        </w:rPr>
        <w:t>-</w:t>
      </w:r>
      <w:r>
        <w:rPr>
          <w:rFonts w:hint="eastAsia" w:ascii="宋体" w:hAnsi="宋体"/>
          <w:b/>
          <w:sz w:val="24"/>
          <w:lang w:val="en-US" w:eastAsia="zh-CN"/>
        </w:rPr>
        <w:t>035</w:t>
      </w:r>
    </w:p>
    <w:bookmarkEnd w:id="1"/>
    <w:p w14:paraId="3670F8D9">
      <w:pPr>
        <w:spacing w:line="360" w:lineRule="auto"/>
        <w:rPr>
          <w:rFonts w:ascii="宋体" w:hAnsi="宋体"/>
          <w:sz w:val="24"/>
        </w:rPr>
      </w:pPr>
    </w:p>
    <w:p w14:paraId="534ED12E">
      <w:pPr>
        <w:spacing w:line="360" w:lineRule="auto"/>
        <w:jc w:val="center"/>
        <w:rPr>
          <w:rFonts w:ascii="宋体" w:hAnsi="宋体"/>
          <w:b/>
          <w:sz w:val="32"/>
          <w:szCs w:val="32"/>
        </w:rPr>
      </w:pPr>
      <w:r>
        <w:rPr>
          <w:rFonts w:hint="eastAsia" w:ascii="宋体" w:hAnsi="宋体"/>
          <w:b/>
          <w:sz w:val="32"/>
          <w:szCs w:val="32"/>
        </w:rPr>
        <w:t>东莞铭普光磁股份有限公司</w:t>
      </w:r>
    </w:p>
    <w:p w14:paraId="3982854C">
      <w:pPr>
        <w:spacing w:line="360" w:lineRule="auto"/>
        <w:jc w:val="center"/>
        <w:rPr>
          <w:rFonts w:ascii="宋体" w:hAnsi="宋体"/>
          <w:b/>
          <w:sz w:val="32"/>
          <w:szCs w:val="32"/>
        </w:rPr>
      </w:pPr>
      <w:r>
        <w:rPr>
          <w:rFonts w:hint="eastAsia" w:ascii="宋体" w:hAnsi="宋体"/>
          <w:b/>
          <w:sz w:val="32"/>
          <w:szCs w:val="32"/>
        </w:rPr>
        <w:t>关于拟续聘会计师事务所的</w:t>
      </w:r>
      <w:r>
        <w:rPr>
          <w:rFonts w:ascii="宋体" w:hAnsi="宋体"/>
          <w:b/>
          <w:sz w:val="32"/>
          <w:szCs w:val="32"/>
        </w:rPr>
        <w:t>公告</w:t>
      </w:r>
    </w:p>
    <w:p w14:paraId="51C1E30E">
      <w:pPr>
        <w:spacing w:line="360" w:lineRule="auto"/>
        <w:jc w:val="center"/>
        <w:rPr>
          <w:rFonts w:ascii="宋体" w:hAnsi="宋体"/>
          <w:b/>
          <w:sz w:val="32"/>
          <w:szCs w:val="32"/>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2FBD3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shd w:val="clear" w:color="auto" w:fill="auto"/>
          </w:tcPr>
          <w:p w14:paraId="288CDF2E">
            <w:pPr>
              <w:spacing w:line="360" w:lineRule="auto"/>
              <w:ind w:firstLine="482" w:firstLineChars="200"/>
              <w:rPr>
                <w:rFonts w:ascii="宋体" w:hAnsi="宋体"/>
                <w:b/>
                <w:sz w:val="24"/>
              </w:rPr>
            </w:pPr>
            <w:r>
              <w:rPr>
                <w:rFonts w:ascii="宋体" w:hAnsi="宋体"/>
                <w:b/>
                <w:sz w:val="24"/>
              </w:rPr>
              <w:t>本公司及董事会全体成员保证信息披露的内容真实、准确、完整，没有虚假记载、误导性陈述或重大遗漏。</w:t>
            </w:r>
          </w:p>
        </w:tc>
      </w:tr>
    </w:tbl>
    <w:p w14:paraId="637D0D20">
      <w:pPr>
        <w:spacing w:line="360" w:lineRule="auto"/>
        <w:jc w:val="center"/>
        <w:rPr>
          <w:rFonts w:ascii="宋体" w:hAnsi="宋体"/>
          <w:bCs/>
          <w:sz w:val="30"/>
        </w:rPr>
      </w:pPr>
    </w:p>
    <w:p w14:paraId="7C077D56">
      <w:pPr>
        <w:spacing w:line="360" w:lineRule="auto"/>
        <w:ind w:firstLine="482" w:firstLineChars="200"/>
        <w:rPr>
          <w:b/>
          <w:sz w:val="24"/>
        </w:rPr>
      </w:pPr>
      <w:r>
        <w:rPr>
          <w:rFonts w:hint="eastAsia"/>
          <w:b/>
          <w:sz w:val="24"/>
        </w:rPr>
        <w:t>特别提示：</w:t>
      </w:r>
    </w:p>
    <w:p w14:paraId="05B0B526">
      <w:pPr>
        <w:spacing w:line="360" w:lineRule="auto"/>
        <w:ind w:firstLine="480" w:firstLineChars="200"/>
        <w:rPr>
          <w:b/>
          <w:sz w:val="24"/>
        </w:rPr>
      </w:pPr>
      <w:r>
        <w:rPr>
          <w:rFonts w:hint="eastAsia"/>
          <w:sz w:val="24"/>
        </w:rPr>
        <w:t>本次续聘会计师事务所符合财政部、国务院国资委、证监会印发的《国有企业、上市公司选聘会计师事务所管理办法》（财会〔2023〕4号）的规定。</w:t>
      </w:r>
    </w:p>
    <w:p w14:paraId="76B38AC1">
      <w:pPr>
        <w:spacing w:line="360" w:lineRule="auto"/>
        <w:ind w:firstLine="480" w:firstLineChars="200"/>
        <w:rPr>
          <w:sz w:val="24"/>
        </w:rPr>
      </w:pPr>
    </w:p>
    <w:p w14:paraId="27624E56">
      <w:pPr>
        <w:spacing w:line="360" w:lineRule="auto"/>
        <w:ind w:firstLine="480" w:firstLineChars="200"/>
        <w:rPr>
          <w:sz w:val="24"/>
        </w:rPr>
      </w:pPr>
      <w:r>
        <w:rPr>
          <w:sz w:val="24"/>
        </w:rPr>
        <w:t>东莞铭普光磁股份</w:t>
      </w:r>
      <w:r>
        <w:rPr>
          <w:rFonts w:hint="eastAsia" w:ascii="宋体" w:hAnsi="宋体" w:cs="宋体"/>
          <w:sz w:val="24"/>
        </w:rPr>
        <w:t>有限公司（以下简称“公司”）于202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日召开第五届董事会第</w:t>
      </w:r>
      <w:r>
        <w:rPr>
          <w:rFonts w:hint="eastAsia" w:ascii="宋体" w:hAnsi="宋体" w:cs="宋体"/>
          <w:sz w:val="24"/>
          <w:lang w:val="en-US" w:eastAsia="zh-CN"/>
        </w:rPr>
        <w:t>八</w:t>
      </w:r>
      <w:r>
        <w:rPr>
          <w:rFonts w:hint="eastAsia" w:ascii="宋体" w:hAnsi="宋体" w:cs="宋体"/>
          <w:sz w:val="24"/>
        </w:rPr>
        <w:t>次会议，审议通过《关于拟续聘会计师事务所的议案》，同意继续聘任立信会计师事务所（特殊普通合伙）（以下简称“立信”）作为公司202</w:t>
      </w:r>
      <w:r>
        <w:rPr>
          <w:rFonts w:hint="eastAsia" w:ascii="宋体" w:hAnsi="宋体" w:cs="宋体"/>
          <w:sz w:val="24"/>
          <w:lang w:val="en-US" w:eastAsia="zh-CN"/>
        </w:rPr>
        <w:t>5</w:t>
      </w:r>
      <w:r>
        <w:rPr>
          <w:rFonts w:hint="eastAsia" w:ascii="宋体" w:hAnsi="宋体" w:cs="宋体"/>
          <w:sz w:val="24"/>
        </w:rPr>
        <w:t>年度财务审计机构，本议案尚需提交公司股东大会审议</w:t>
      </w:r>
      <w:r>
        <w:rPr>
          <w:rFonts w:hint="eastAsia"/>
          <w:sz w:val="24"/>
        </w:rPr>
        <w:t>。现将相关事宜公告如下：</w:t>
      </w:r>
    </w:p>
    <w:p w14:paraId="02FE4ED0">
      <w:pPr>
        <w:spacing w:line="360" w:lineRule="auto"/>
        <w:ind w:firstLine="480" w:firstLineChars="200"/>
        <w:rPr>
          <w:sz w:val="24"/>
        </w:rPr>
      </w:pPr>
    </w:p>
    <w:p w14:paraId="2ACC0001">
      <w:pPr>
        <w:spacing w:line="360" w:lineRule="auto"/>
        <w:ind w:firstLine="482" w:firstLineChars="200"/>
        <w:rPr>
          <w:rFonts w:ascii="宋体" w:hAnsi="宋体"/>
          <w:b/>
          <w:sz w:val="24"/>
        </w:rPr>
      </w:pPr>
      <w:r>
        <w:rPr>
          <w:rFonts w:hint="eastAsia" w:ascii="宋体" w:hAnsi="宋体"/>
          <w:b/>
          <w:sz w:val="24"/>
        </w:rPr>
        <w:t>一、拟续聘会计师事务所的基本情况</w:t>
      </w:r>
    </w:p>
    <w:p w14:paraId="0F5EE526">
      <w:pPr>
        <w:spacing w:line="360" w:lineRule="auto"/>
        <w:ind w:firstLine="482" w:firstLineChars="200"/>
        <w:rPr>
          <w:rFonts w:ascii="宋体" w:hAnsi="宋体"/>
          <w:b/>
          <w:sz w:val="24"/>
        </w:rPr>
      </w:pPr>
      <w:r>
        <w:rPr>
          <w:rFonts w:hint="eastAsia" w:ascii="宋体" w:hAnsi="宋体"/>
          <w:b/>
          <w:sz w:val="24"/>
        </w:rPr>
        <w:t>（一）机构信息</w:t>
      </w:r>
    </w:p>
    <w:p w14:paraId="35A17E0B">
      <w:pPr>
        <w:pStyle w:val="22"/>
        <w:spacing w:line="360" w:lineRule="auto"/>
        <w:ind w:firstLine="480" w:firstLineChars="200"/>
        <w:rPr>
          <w:rFonts w:hAnsi="宋体"/>
          <w:b w:val="0"/>
          <w:bCs/>
        </w:rPr>
      </w:pPr>
      <w:r>
        <w:rPr>
          <w:rFonts w:cs="Times New Roman" w:asciiTheme="minorEastAsia" w:hAnsiTheme="minorEastAsia" w:eastAsiaTheme="minorEastAsia"/>
          <w:b w:val="0"/>
          <w:bCs/>
        </w:rPr>
        <w:t>1</w:t>
      </w:r>
      <w:r>
        <w:rPr>
          <w:rFonts w:hint="eastAsia" w:cs="Times New Roman" w:asciiTheme="minorEastAsia" w:hAnsiTheme="minorEastAsia" w:eastAsiaTheme="minorEastAsia"/>
          <w:b w:val="0"/>
          <w:bCs/>
        </w:rPr>
        <w:t>、基本信息</w:t>
      </w:r>
    </w:p>
    <w:p w14:paraId="3A3E9DD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立信会计师事务所（特殊普通合伙）（以下简称“立信”）由我国会计泰斗潘序伦博士于1927年在上海创建，1986年复办，2010年成为全国首家完成改制的特殊普通合伙制会计师事务所，注册地址为上海市，首席合伙人为朱建弟先生。立信是国际会计网络BDO的成员所，长期从事证券服务业务，新证券法实施前具有证券、期货业务许可证，具有H股审计资格，并已向美国公众公司会计监督委员会（PCAOB）注册登记。</w:t>
      </w:r>
    </w:p>
    <w:p w14:paraId="2C190319">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截至2024年末，立信拥有合伙人296名、注册会计师2,498名、从业人员总数10,021名，签署过证券服务业务审计报告的注册会计师743名。</w:t>
      </w:r>
    </w:p>
    <w:p w14:paraId="27F429C0">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立信2024年业务收入（未经审计）50.01亿元，其中审计业务收入35.16亿元，证券业务收入17.65亿元。</w:t>
      </w:r>
    </w:p>
    <w:p w14:paraId="1EA2D54C">
      <w:pPr>
        <w:pStyle w:val="22"/>
        <w:spacing w:line="360" w:lineRule="auto"/>
        <w:ind w:firstLine="480" w:firstLineChars="200"/>
        <w:rPr>
          <w:rFonts w:hint="eastAsia" w:hAnsi="宋体"/>
          <w:b/>
        </w:rPr>
      </w:pPr>
      <w:r>
        <w:rPr>
          <w:rFonts w:hint="eastAsia" w:ascii="宋体" w:hAnsi="宋体" w:cs="宋体"/>
          <w:color w:val="000000"/>
          <w:kern w:val="0"/>
          <w:sz w:val="24"/>
        </w:rPr>
        <w:t>2024年度立信为693家上市公司提供年报审计服务，审计收费  8.54亿元，同行业上市公司审计客户93家。</w:t>
      </w:r>
    </w:p>
    <w:p w14:paraId="28E19D6A">
      <w:pPr>
        <w:pStyle w:val="22"/>
        <w:spacing w:line="360" w:lineRule="auto"/>
        <w:ind w:firstLine="480" w:firstLineChars="200"/>
        <w:rPr>
          <w:rFonts w:hAnsi="宋体"/>
          <w:b w:val="0"/>
          <w:bCs/>
        </w:rPr>
      </w:pPr>
      <w:r>
        <w:rPr>
          <w:rFonts w:hint="eastAsia" w:hAnsi="宋体"/>
          <w:b w:val="0"/>
          <w:bCs/>
        </w:rPr>
        <w:t>2、投资者保护能力</w:t>
      </w:r>
    </w:p>
    <w:p w14:paraId="447DCDF9">
      <w:pPr>
        <w:snapToGrid w:val="0"/>
        <w:spacing w:line="360" w:lineRule="auto"/>
        <w:ind w:firstLine="480" w:firstLineChars="200"/>
        <w:rPr>
          <w:rFonts w:hint="eastAsia" w:ascii="宋体" w:hAnsi="宋体" w:cs="宋体"/>
          <w:sz w:val="24"/>
        </w:rPr>
      </w:pPr>
      <w:r>
        <w:rPr>
          <w:rFonts w:hint="eastAsia" w:ascii="宋体" w:hAnsi="宋体" w:cs="宋体"/>
          <w:sz w:val="24"/>
        </w:rPr>
        <w:t>截至2024年末，立信已提取职业风险基金1.66亿元，购买的职业保险累计赔偿限额为1</w:t>
      </w:r>
      <w:r>
        <w:rPr>
          <w:rFonts w:hint="eastAsia" w:ascii="宋体" w:hAnsi="宋体" w:cs="宋体"/>
          <w:sz w:val="24"/>
          <w:lang w:val="en-US" w:eastAsia="zh-CN"/>
        </w:rPr>
        <w:t>0</w:t>
      </w:r>
      <w:r>
        <w:rPr>
          <w:rFonts w:hint="eastAsia" w:ascii="宋体" w:hAnsi="宋体" w:cs="宋体"/>
          <w:sz w:val="24"/>
        </w:rPr>
        <w:t>.50亿元，相关职业保险能够覆盖因审计失败导致的民事赔偿责任。</w:t>
      </w:r>
    </w:p>
    <w:p w14:paraId="571AF3D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近三年在执业行为相关民事诉讼中承担民事责任的情况：</w:t>
      </w:r>
    </w:p>
    <w:tbl>
      <w:tblPr>
        <w:tblStyle w:val="24"/>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165"/>
        <w:gridCol w:w="1744"/>
        <w:gridCol w:w="1454"/>
        <w:gridCol w:w="1164"/>
        <w:gridCol w:w="2995"/>
      </w:tblGrid>
      <w:tr w14:paraId="0FD647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684" w:type="pct"/>
            <w:shd w:val="clear" w:color="auto" w:fill="auto"/>
            <w:vAlign w:val="center"/>
          </w:tcPr>
          <w:p w14:paraId="7C7E024F">
            <w:pPr>
              <w:widowControl/>
              <w:spacing w:line="400" w:lineRule="atLeast"/>
              <w:jc w:val="center"/>
              <w:rPr>
                <w:rFonts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起诉（仲裁）人</w:t>
            </w:r>
          </w:p>
        </w:tc>
        <w:tc>
          <w:tcPr>
            <w:tcW w:w="1023" w:type="pct"/>
            <w:shd w:val="clear" w:color="auto" w:fill="auto"/>
            <w:vAlign w:val="center"/>
          </w:tcPr>
          <w:p w14:paraId="318B7B12">
            <w:pPr>
              <w:widowControl/>
              <w:spacing w:line="400" w:lineRule="atLeast"/>
              <w:jc w:val="center"/>
              <w:rPr>
                <w:rFonts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被诉（被仲裁）人</w:t>
            </w:r>
          </w:p>
        </w:tc>
        <w:tc>
          <w:tcPr>
            <w:tcW w:w="853" w:type="pct"/>
            <w:shd w:val="clear" w:color="auto" w:fill="auto"/>
            <w:vAlign w:val="center"/>
          </w:tcPr>
          <w:p w14:paraId="7D96DAA1">
            <w:pPr>
              <w:widowControl/>
              <w:spacing w:line="400" w:lineRule="atLeast"/>
              <w:jc w:val="center"/>
              <w:rPr>
                <w:rFonts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诉讼（仲裁）事件</w:t>
            </w:r>
          </w:p>
        </w:tc>
        <w:tc>
          <w:tcPr>
            <w:tcW w:w="683" w:type="pct"/>
            <w:shd w:val="clear" w:color="auto" w:fill="auto"/>
            <w:vAlign w:val="center"/>
          </w:tcPr>
          <w:p w14:paraId="327D490D">
            <w:pPr>
              <w:widowControl/>
              <w:spacing w:line="400" w:lineRule="atLeast"/>
              <w:jc w:val="center"/>
              <w:rPr>
                <w:rFonts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诉讼（仲裁）金额</w:t>
            </w:r>
          </w:p>
        </w:tc>
        <w:tc>
          <w:tcPr>
            <w:tcW w:w="1757" w:type="pct"/>
            <w:shd w:val="clear" w:color="auto" w:fill="auto"/>
            <w:vAlign w:val="center"/>
          </w:tcPr>
          <w:p w14:paraId="6F3677C7">
            <w:pPr>
              <w:widowControl/>
              <w:spacing w:line="400" w:lineRule="atLeast"/>
              <w:jc w:val="center"/>
              <w:rPr>
                <w:rFonts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诉讼（仲裁）结果</w:t>
            </w:r>
          </w:p>
        </w:tc>
      </w:tr>
      <w:tr w14:paraId="5A01B3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84" w:type="pct"/>
            <w:shd w:val="clear" w:color="auto" w:fill="auto"/>
            <w:vAlign w:val="center"/>
          </w:tcPr>
          <w:p w14:paraId="4F8FBACE">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sz w:val="18"/>
              </w:rPr>
              <w:t>投资者</w:t>
            </w:r>
          </w:p>
        </w:tc>
        <w:tc>
          <w:tcPr>
            <w:tcW w:w="1023" w:type="pct"/>
            <w:shd w:val="clear" w:color="auto" w:fill="auto"/>
            <w:vAlign w:val="center"/>
          </w:tcPr>
          <w:p w14:paraId="4AB685E6">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sz w:val="18"/>
              </w:rPr>
              <w:t>金亚科技、周旭辉、立信</w:t>
            </w:r>
          </w:p>
        </w:tc>
        <w:tc>
          <w:tcPr>
            <w:tcW w:w="853" w:type="pct"/>
            <w:shd w:val="clear" w:color="auto" w:fill="auto"/>
            <w:vAlign w:val="center"/>
          </w:tcPr>
          <w:p w14:paraId="2DCA6B03">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sz w:val="18"/>
              </w:rPr>
              <w:t>2014年报</w:t>
            </w:r>
          </w:p>
        </w:tc>
        <w:tc>
          <w:tcPr>
            <w:tcW w:w="683" w:type="pct"/>
            <w:shd w:val="clear" w:color="auto" w:fill="auto"/>
            <w:vAlign w:val="center"/>
          </w:tcPr>
          <w:p w14:paraId="51E1F2AC">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sz w:val="18"/>
              </w:rPr>
              <w:t>尚余500多万</w:t>
            </w:r>
            <w:r>
              <w:rPr>
                <w:rFonts w:ascii="Times New Roman" w:hAnsi="Times New Roman" w:eastAsia="宋体" w:cs="Times New Roman"/>
                <w:color w:val="000000"/>
                <w:kern w:val="0"/>
                <w:sz w:val="18"/>
                <w:szCs w:val="18"/>
              </w:rPr>
              <w:t xml:space="preserve"> </w:t>
            </w:r>
          </w:p>
        </w:tc>
        <w:tc>
          <w:tcPr>
            <w:tcW w:w="1757" w:type="pct"/>
            <w:shd w:val="clear" w:color="auto" w:fill="auto"/>
            <w:vAlign w:val="center"/>
          </w:tcPr>
          <w:p w14:paraId="17518E6D">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sz w:val="18"/>
              </w:rPr>
              <w:t>部分投资者以证券虚假陈述责任纠纷为由对金亚科技、立信所提起民事诉讼。根据有权人民法院作出的生效判决，金亚科技对投资者损失的12.29%部分承担赔偿责任，立信所承担连带责任。立信投保的职业保险足以覆盖赔偿金额，目前生效判决均已履行。</w:t>
            </w:r>
          </w:p>
        </w:tc>
      </w:tr>
      <w:tr w14:paraId="43B9CD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84" w:type="pct"/>
            <w:shd w:val="clear" w:color="auto" w:fill="auto"/>
            <w:vAlign w:val="center"/>
          </w:tcPr>
          <w:p w14:paraId="247539B1">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投资者</w:t>
            </w:r>
          </w:p>
        </w:tc>
        <w:tc>
          <w:tcPr>
            <w:tcW w:w="1023" w:type="pct"/>
            <w:shd w:val="clear" w:color="auto" w:fill="auto"/>
            <w:vAlign w:val="center"/>
          </w:tcPr>
          <w:p w14:paraId="72A7835B">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保千里、东北证券、银信评估、立信等</w:t>
            </w:r>
          </w:p>
        </w:tc>
        <w:tc>
          <w:tcPr>
            <w:tcW w:w="853" w:type="pct"/>
            <w:shd w:val="clear" w:color="auto" w:fill="auto"/>
            <w:vAlign w:val="center"/>
          </w:tcPr>
          <w:p w14:paraId="784FDAC7">
            <w:pPr>
              <w:widowControl/>
              <w:spacing w:line="400" w:lineRule="atLeas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2015</w:t>
            </w:r>
            <w:r>
              <w:rPr>
                <w:rFonts w:hint="eastAsia" w:ascii="Times New Roman" w:hAnsi="Times New Roman" w:eastAsia="宋体" w:cs="Times New Roman"/>
                <w:color w:val="000000"/>
                <w:kern w:val="0"/>
                <w:sz w:val="18"/>
                <w:szCs w:val="18"/>
              </w:rPr>
              <w:t>年重组、</w:t>
            </w:r>
            <w:r>
              <w:rPr>
                <w:rFonts w:ascii="Times New Roman" w:hAnsi="Times New Roman" w:eastAsia="宋体" w:cs="Times New Roman"/>
                <w:color w:val="000000"/>
                <w:kern w:val="0"/>
                <w:sz w:val="18"/>
                <w:szCs w:val="18"/>
              </w:rPr>
              <w:t>2015</w:t>
            </w:r>
            <w:r>
              <w:rPr>
                <w:rFonts w:hint="eastAsia" w:ascii="Times New Roman" w:hAnsi="Times New Roman" w:eastAsia="宋体" w:cs="Times New Roman"/>
                <w:color w:val="000000"/>
                <w:kern w:val="0"/>
                <w:sz w:val="18"/>
                <w:szCs w:val="18"/>
              </w:rPr>
              <w:t>年报、</w:t>
            </w:r>
            <w:r>
              <w:rPr>
                <w:rFonts w:ascii="Times New Roman" w:hAnsi="Times New Roman" w:eastAsia="宋体" w:cs="Times New Roman"/>
                <w:color w:val="000000"/>
                <w:kern w:val="0"/>
                <w:sz w:val="18"/>
                <w:szCs w:val="18"/>
              </w:rPr>
              <w:t>2016</w:t>
            </w:r>
            <w:r>
              <w:rPr>
                <w:rFonts w:hint="eastAsia" w:ascii="Times New Roman" w:hAnsi="Times New Roman" w:eastAsia="宋体" w:cs="Times New Roman"/>
                <w:color w:val="000000"/>
                <w:kern w:val="0"/>
                <w:sz w:val="18"/>
                <w:szCs w:val="18"/>
              </w:rPr>
              <w:t>年报</w:t>
            </w:r>
          </w:p>
        </w:tc>
        <w:tc>
          <w:tcPr>
            <w:tcW w:w="683" w:type="pct"/>
            <w:shd w:val="clear" w:color="auto" w:fill="auto"/>
            <w:vAlign w:val="center"/>
          </w:tcPr>
          <w:p w14:paraId="7233E5B2">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1,096万元</w:t>
            </w:r>
          </w:p>
        </w:tc>
        <w:tc>
          <w:tcPr>
            <w:tcW w:w="1757" w:type="pct"/>
            <w:shd w:val="clear" w:color="auto" w:fill="auto"/>
            <w:vAlign w:val="center"/>
          </w:tcPr>
          <w:p w14:paraId="7831BDC8">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部分投资者以保千里2015年年度报告；2016年半年度报告、年度报告；2017年半年度报告以及临时公告存在证券虚假陈述为由对保千里、立信、银信评估、东北证券提起民事诉讼。立信未受到行政处罚，但有权人民法院判令立信对保千里在2016年12月30日至2017年12月29日期间因虚假陈述行为对保千里所负债务的15%部分承担补充赔偿责任。目前胜诉投资者对立信申请执行，法院受理后从事务所账户中扣划执行款项。立信账户中资金足以支付投资者的执行款项，并且立信购买了足额的会计师事务所职业责任保险，足以有效化解执业诉讼风险，确保生效法律文书均能有效执行。</w:t>
            </w:r>
          </w:p>
        </w:tc>
      </w:tr>
    </w:tbl>
    <w:p w14:paraId="76501E66">
      <w:pPr>
        <w:snapToGrid w:val="0"/>
        <w:spacing w:line="400" w:lineRule="atLeast"/>
        <w:rPr>
          <w:rFonts w:ascii="Times New Roman" w:hAnsi="Times New Roman" w:cs="Times New Roman"/>
          <w:i/>
          <w:sz w:val="28"/>
          <w:szCs w:val="28"/>
        </w:rPr>
      </w:pPr>
    </w:p>
    <w:p w14:paraId="3B69A3D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3、诚信记录</w:t>
      </w:r>
    </w:p>
    <w:p w14:paraId="6383407C">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
          <w:sz w:val="24"/>
          <w:szCs w:val="24"/>
        </w:rPr>
      </w:pPr>
      <w:r>
        <w:rPr>
          <w:rFonts w:hint="eastAsia" w:ascii="宋体" w:hAnsi="宋体" w:cs="宋体"/>
          <w:sz w:val="24"/>
          <w:szCs w:val="24"/>
        </w:rPr>
        <w:t>立信近三年因执业行为受到刑事处罚无、行政处罚5次、监督管理措施43次、自律监管措施4次和纪律处分无，涉及从业人员131名</w:t>
      </w:r>
      <w:r>
        <w:rPr>
          <w:rFonts w:hint="eastAsia" w:ascii="宋体" w:hAnsi="宋体" w:cs="宋体"/>
          <w:i/>
          <w:sz w:val="24"/>
          <w:szCs w:val="24"/>
        </w:rPr>
        <w:t>。</w:t>
      </w:r>
    </w:p>
    <w:p w14:paraId="6591F10F">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rPr>
        <w:t>（二）项目信息</w:t>
      </w:r>
    </w:p>
    <w:p w14:paraId="2AD9B17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1、基本信息</w:t>
      </w:r>
    </w:p>
    <w:tbl>
      <w:tblPr>
        <w:tblStyle w:val="24"/>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524"/>
        <w:gridCol w:w="1132"/>
        <w:gridCol w:w="1466"/>
        <w:gridCol w:w="1466"/>
        <w:gridCol w:w="1323"/>
        <w:gridCol w:w="1611"/>
      </w:tblGrid>
      <w:tr w14:paraId="296C58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894" w:type="pct"/>
            <w:shd w:val="clear" w:color="auto" w:fill="auto"/>
            <w:vAlign w:val="center"/>
          </w:tcPr>
          <w:p w14:paraId="2FACE4EB">
            <w:pPr>
              <w:snapToGrid w:val="0"/>
              <w:spacing w:line="400" w:lineRule="atLeast"/>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项目</w:t>
            </w:r>
          </w:p>
        </w:tc>
        <w:tc>
          <w:tcPr>
            <w:tcW w:w="664" w:type="pct"/>
            <w:shd w:val="clear" w:color="auto" w:fill="auto"/>
            <w:vAlign w:val="center"/>
          </w:tcPr>
          <w:p w14:paraId="61F1C459">
            <w:pPr>
              <w:snapToGrid w:val="0"/>
              <w:spacing w:line="400" w:lineRule="atLeast"/>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姓名</w:t>
            </w:r>
          </w:p>
        </w:tc>
        <w:tc>
          <w:tcPr>
            <w:tcW w:w="860" w:type="pct"/>
            <w:shd w:val="clear" w:color="auto" w:fill="auto"/>
            <w:vAlign w:val="center"/>
          </w:tcPr>
          <w:p w14:paraId="3CE3F53F">
            <w:pPr>
              <w:snapToGrid w:val="0"/>
              <w:spacing w:line="400" w:lineRule="atLeast"/>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注册会计师执业时间</w:t>
            </w:r>
          </w:p>
        </w:tc>
        <w:tc>
          <w:tcPr>
            <w:tcW w:w="860" w:type="pct"/>
            <w:shd w:val="clear" w:color="auto" w:fill="auto"/>
            <w:vAlign w:val="center"/>
          </w:tcPr>
          <w:p w14:paraId="63EC8C2B">
            <w:pPr>
              <w:snapToGrid w:val="0"/>
              <w:spacing w:line="400" w:lineRule="atLeast"/>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开始从事上市公司审计时间</w:t>
            </w:r>
          </w:p>
        </w:tc>
        <w:tc>
          <w:tcPr>
            <w:tcW w:w="776" w:type="pct"/>
            <w:shd w:val="clear" w:color="auto" w:fill="auto"/>
            <w:vAlign w:val="center"/>
          </w:tcPr>
          <w:p w14:paraId="2714E6EC">
            <w:pPr>
              <w:snapToGrid w:val="0"/>
              <w:spacing w:line="400" w:lineRule="atLeast"/>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开始在本所执业时间</w:t>
            </w:r>
          </w:p>
        </w:tc>
        <w:tc>
          <w:tcPr>
            <w:tcW w:w="945" w:type="pct"/>
            <w:shd w:val="clear" w:color="auto" w:fill="auto"/>
            <w:vAlign w:val="center"/>
          </w:tcPr>
          <w:p w14:paraId="27B6763E">
            <w:pPr>
              <w:snapToGrid w:val="0"/>
              <w:spacing w:line="400" w:lineRule="atLeast"/>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开始为本公司提供审计服务时间</w:t>
            </w:r>
          </w:p>
        </w:tc>
      </w:tr>
      <w:tr w14:paraId="30313B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94" w:type="pct"/>
            <w:shd w:val="clear" w:color="auto" w:fill="auto"/>
            <w:vAlign w:val="center"/>
          </w:tcPr>
          <w:p w14:paraId="0789A0A4">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项目合伙人</w:t>
            </w:r>
          </w:p>
        </w:tc>
        <w:tc>
          <w:tcPr>
            <w:tcW w:w="664" w:type="pct"/>
            <w:shd w:val="clear" w:color="auto" w:fill="auto"/>
            <w:vAlign w:val="center"/>
          </w:tcPr>
          <w:p w14:paraId="2E222BCB">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龙湖川</w:t>
            </w:r>
          </w:p>
        </w:tc>
        <w:tc>
          <w:tcPr>
            <w:tcW w:w="860" w:type="pct"/>
            <w:shd w:val="clear" w:color="auto" w:fill="auto"/>
            <w:vAlign w:val="center"/>
          </w:tcPr>
          <w:p w14:paraId="16F14D17">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1998年</w:t>
            </w:r>
          </w:p>
        </w:tc>
        <w:tc>
          <w:tcPr>
            <w:tcW w:w="860" w:type="pct"/>
            <w:shd w:val="clear" w:color="auto" w:fill="auto"/>
            <w:vAlign w:val="center"/>
          </w:tcPr>
          <w:p w14:paraId="387A4B20">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1998年</w:t>
            </w:r>
          </w:p>
        </w:tc>
        <w:tc>
          <w:tcPr>
            <w:tcW w:w="776" w:type="pct"/>
            <w:shd w:val="clear" w:color="auto" w:fill="auto"/>
            <w:vAlign w:val="center"/>
          </w:tcPr>
          <w:p w14:paraId="5BD6FC10">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2011年</w:t>
            </w:r>
          </w:p>
        </w:tc>
        <w:tc>
          <w:tcPr>
            <w:tcW w:w="945" w:type="pct"/>
            <w:shd w:val="clear" w:color="auto" w:fill="auto"/>
            <w:vAlign w:val="center"/>
          </w:tcPr>
          <w:p w14:paraId="3ED5660B">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w:t>
            </w:r>
            <w:r>
              <w:rPr>
                <w:rFonts w:ascii="Times New Roman" w:hAnsi="Times New Roman" w:eastAsia="宋体" w:cs="Times New Roman"/>
                <w:bCs/>
                <w:color w:val="000000"/>
                <w:sz w:val="18"/>
              </w:rPr>
              <w:t>022</w:t>
            </w:r>
            <w:r>
              <w:rPr>
                <w:rFonts w:hint="eastAsia" w:ascii="Times New Roman" w:hAnsi="Times New Roman" w:eastAsia="宋体" w:cs="Times New Roman"/>
                <w:bCs/>
                <w:color w:val="000000"/>
                <w:sz w:val="18"/>
              </w:rPr>
              <w:t>年</w:t>
            </w:r>
          </w:p>
        </w:tc>
      </w:tr>
      <w:tr w14:paraId="30B104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94" w:type="pct"/>
            <w:shd w:val="clear" w:color="auto" w:fill="auto"/>
            <w:vAlign w:val="center"/>
          </w:tcPr>
          <w:p w14:paraId="2F68AC67">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签字注册会计师</w:t>
            </w:r>
          </w:p>
        </w:tc>
        <w:tc>
          <w:tcPr>
            <w:tcW w:w="664" w:type="pct"/>
            <w:shd w:val="clear" w:color="auto" w:fill="auto"/>
            <w:vAlign w:val="center"/>
          </w:tcPr>
          <w:p w14:paraId="3737E975">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卢伟胜</w:t>
            </w:r>
          </w:p>
        </w:tc>
        <w:tc>
          <w:tcPr>
            <w:tcW w:w="860" w:type="pct"/>
            <w:shd w:val="clear" w:color="auto" w:fill="auto"/>
            <w:vAlign w:val="center"/>
          </w:tcPr>
          <w:p w14:paraId="05BCF2E2">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auto"/>
                <w:sz w:val="18"/>
              </w:rPr>
              <w:t>2</w:t>
            </w:r>
            <w:r>
              <w:rPr>
                <w:rFonts w:ascii="Times New Roman" w:hAnsi="Times New Roman" w:eastAsia="宋体" w:cs="Times New Roman"/>
                <w:bCs/>
                <w:color w:val="auto"/>
                <w:sz w:val="18"/>
              </w:rPr>
              <w:t>00</w:t>
            </w:r>
            <w:r>
              <w:rPr>
                <w:rFonts w:hint="eastAsia" w:ascii="Times New Roman" w:hAnsi="Times New Roman" w:eastAsia="宋体" w:cs="Times New Roman"/>
                <w:bCs/>
                <w:color w:val="auto"/>
                <w:sz w:val="18"/>
              </w:rPr>
              <w:t>9年</w:t>
            </w:r>
          </w:p>
        </w:tc>
        <w:tc>
          <w:tcPr>
            <w:tcW w:w="860" w:type="pct"/>
            <w:shd w:val="clear" w:color="auto" w:fill="auto"/>
            <w:vAlign w:val="center"/>
          </w:tcPr>
          <w:p w14:paraId="316E7AC4">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w:t>
            </w:r>
            <w:r>
              <w:rPr>
                <w:rFonts w:ascii="Times New Roman" w:hAnsi="Times New Roman" w:eastAsia="宋体" w:cs="Times New Roman"/>
                <w:bCs/>
                <w:color w:val="000000"/>
                <w:sz w:val="18"/>
              </w:rPr>
              <w:t>01</w:t>
            </w:r>
            <w:r>
              <w:rPr>
                <w:rFonts w:hint="eastAsia" w:ascii="Times New Roman" w:hAnsi="Times New Roman" w:eastAsia="宋体" w:cs="Times New Roman"/>
                <w:bCs/>
                <w:color w:val="000000"/>
                <w:sz w:val="18"/>
              </w:rPr>
              <w:t>6年</w:t>
            </w:r>
          </w:p>
        </w:tc>
        <w:tc>
          <w:tcPr>
            <w:tcW w:w="776" w:type="pct"/>
            <w:shd w:val="clear" w:color="auto" w:fill="auto"/>
            <w:vAlign w:val="center"/>
          </w:tcPr>
          <w:p w14:paraId="3C7D07A0">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w:t>
            </w:r>
            <w:r>
              <w:rPr>
                <w:rFonts w:ascii="Times New Roman" w:hAnsi="Times New Roman" w:eastAsia="宋体" w:cs="Times New Roman"/>
                <w:bCs/>
                <w:color w:val="000000"/>
                <w:sz w:val="18"/>
              </w:rPr>
              <w:t>01</w:t>
            </w:r>
            <w:r>
              <w:rPr>
                <w:rFonts w:hint="eastAsia" w:ascii="Times New Roman" w:hAnsi="Times New Roman" w:eastAsia="宋体" w:cs="Times New Roman"/>
                <w:bCs/>
                <w:color w:val="000000"/>
                <w:sz w:val="18"/>
              </w:rPr>
              <w:t>6年</w:t>
            </w:r>
          </w:p>
        </w:tc>
        <w:tc>
          <w:tcPr>
            <w:tcW w:w="945" w:type="pct"/>
            <w:shd w:val="clear" w:color="auto" w:fill="auto"/>
            <w:vAlign w:val="center"/>
          </w:tcPr>
          <w:p w14:paraId="3D1C6C48">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w:t>
            </w:r>
            <w:r>
              <w:rPr>
                <w:rFonts w:ascii="Times New Roman" w:hAnsi="Times New Roman" w:eastAsia="宋体" w:cs="Times New Roman"/>
                <w:bCs/>
                <w:color w:val="000000"/>
                <w:sz w:val="18"/>
              </w:rPr>
              <w:t>02</w:t>
            </w:r>
            <w:r>
              <w:rPr>
                <w:rFonts w:hint="eastAsia" w:ascii="Times New Roman" w:hAnsi="Times New Roman" w:eastAsia="宋体" w:cs="Times New Roman"/>
                <w:bCs/>
                <w:color w:val="000000"/>
                <w:sz w:val="18"/>
              </w:rPr>
              <w:t>4年</w:t>
            </w:r>
          </w:p>
        </w:tc>
      </w:tr>
      <w:tr w14:paraId="2C7FBA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94" w:type="pct"/>
            <w:shd w:val="clear" w:color="auto" w:fill="auto"/>
            <w:vAlign w:val="center"/>
          </w:tcPr>
          <w:p w14:paraId="03CCEAFC">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质量控制复核人</w:t>
            </w:r>
          </w:p>
        </w:tc>
        <w:tc>
          <w:tcPr>
            <w:tcW w:w="664" w:type="pct"/>
            <w:shd w:val="clear" w:color="auto" w:fill="auto"/>
            <w:vAlign w:val="center"/>
          </w:tcPr>
          <w:p w14:paraId="3BE1D5FC">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color w:val="000000"/>
                <w:sz w:val="18"/>
              </w:rPr>
              <w:t>柴喜峰</w:t>
            </w:r>
          </w:p>
        </w:tc>
        <w:tc>
          <w:tcPr>
            <w:tcW w:w="860" w:type="pct"/>
            <w:shd w:val="clear" w:color="auto" w:fill="auto"/>
            <w:vAlign w:val="center"/>
          </w:tcPr>
          <w:p w14:paraId="1418ADE6">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bCs/>
                <w:color w:val="000000"/>
                <w:sz w:val="18"/>
              </w:rPr>
              <w:t>2014</w:t>
            </w:r>
            <w:r>
              <w:rPr>
                <w:rFonts w:hint="eastAsia" w:ascii="Times New Roman" w:hAnsi="Times New Roman" w:eastAsia="宋体" w:cs="Times New Roman"/>
                <w:bCs/>
                <w:color w:val="000000"/>
                <w:sz w:val="18"/>
              </w:rPr>
              <w:t>年</w:t>
            </w:r>
          </w:p>
        </w:tc>
        <w:tc>
          <w:tcPr>
            <w:tcW w:w="860" w:type="pct"/>
            <w:shd w:val="clear" w:color="auto" w:fill="auto"/>
            <w:vAlign w:val="center"/>
          </w:tcPr>
          <w:p w14:paraId="27A10BCA">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bCs/>
                <w:color w:val="000000"/>
                <w:sz w:val="18"/>
              </w:rPr>
              <w:t>2010</w:t>
            </w:r>
            <w:r>
              <w:rPr>
                <w:rFonts w:hint="eastAsia" w:ascii="Times New Roman" w:hAnsi="Times New Roman" w:eastAsia="宋体" w:cs="Times New Roman"/>
                <w:bCs/>
                <w:color w:val="000000"/>
                <w:sz w:val="18"/>
              </w:rPr>
              <w:t>年</w:t>
            </w:r>
          </w:p>
        </w:tc>
        <w:tc>
          <w:tcPr>
            <w:tcW w:w="776" w:type="pct"/>
            <w:shd w:val="clear" w:color="auto" w:fill="auto"/>
            <w:vAlign w:val="center"/>
          </w:tcPr>
          <w:p w14:paraId="162FC4BE">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bCs/>
                <w:color w:val="000000"/>
                <w:sz w:val="18"/>
              </w:rPr>
              <w:t>2010</w:t>
            </w:r>
            <w:r>
              <w:rPr>
                <w:rFonts w:hint="eastAsia" w:ascii="Times New Roman" w:hAnsi="Times New Roman" w:eastAsia="宋体" w:cs="Times New Roman"/>
                <w:bCs/>
                <w:color w:val="000000"/>
                <w:sz w:val="18"/>
              </w:rPr>
              <w:t>年</w:t>
            </w:r>
          </w:p>
        </w:tc>
        <w:tc>
          <w:tcPr>
            <w:tcW w:w="945" w:type="pct"/>
            <w:shd w:val="clear" w:color="auto" w:fill="auto"/>
            <w:vAlign w:val="center"/>
          </w:tcPr>
          <w:p w14:paraId="3A1B5410">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2022年</w:t>
            </w:r>
          </w:p>
        </w:tc>
      </w:tr>
    </w:tbl>
    <w:p w14:paraId="3B3F576E">
      <w:pPr>
        <w:snapToGrid w:val="0"/>
        <w:spacing w:line="400" w:lineRule="atLeast"/>
        <w:ind w:firstLine="420" w:firstLineChars="200"/>
        <w:rPr>
          <w:rFonts w:ascii="Times New Roman" w:hAnsi="Times New Roman" w:cs="Times New Roman"/>
          <w:bCs/>
        </w:rPr>
      </w:pPr>
    </w:p>
    <w:p w14:paraId="0809D8E7">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（1）项目合伙人近三年从业情况：</w:t>
      </w:r>
    </w:p>
    <w:p w14:paraId="7CD2C365">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姓名：龙湖川</w:t>
      </w:r>
    </w:p>
    <w:tbl>
      <w:tblPr>
        <w:tblStyle w:val="24"/>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98"/>
        <w:gridCol w:w="3683"/>
        <w:gridCol w:w="3141"/>
      </w:tblGrid>
      <w:tr w14:paraId="5516E0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996" w:type="pct"/>
            <w:shd w:val="clear" w:color="auto" w:fill="auto"/>
            <w:vAlign w:val="center"/>
          </w:tcPr>
          <w:p w14:paraId="39E5FEBF">
            <w:pPr>
              <w:snapToGrid w:val="0"/>
              <w:spacing w:line="400" w:lineRule="atLeast"/>
              <w:jc w:val="center"/>
              <w:rPr>
                <w:rFonts w:ascii="Times New Roman" w:hAnsi="Times New Roman" w:eastAsia="宋体" w:cs="Times New Roman"/>
                <w:b/>
                <w:bCs/>
                <w:color w:val="000000"/>
                <w:sz w:val="18"/>
              </w:rPr>
            </w:pPr>
            <w:bookmarkStart w:id="0" w:name="_Hlk177631710"/>
            <w:r>
              <w:rPr>
                <w:rFonts w:ascii="Times New Roman" w:hAnsi="Times New Roman" w:eastAsia="宋体" w:cs="Times New Roman"/>
                <w:b/>
                <w:bCs/>
                <w:color w:val="000000"/>
                <w:sz w:val="18"/>
              </w:rPr>
              <w:t>时间</w:t>
            </w:r>
          </w:p>
        </w:tc>
        <w:tc>
          <w:tcPr>
            <w:tcW w:w="2161" w:type="pct"/>
            <w:shd w:val="clear" w:color="auto" w:fill="auto"/>
            <w:vAlign w:val="center"/>
          </w:tcPr>
          <w:p w14:paraId="476AB63C">
            <w:pPr>
              <w:snapToGrid w:val="0"/>
              <w:spacing w:line="400" w:lineRule="atLeast"/>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上市公司名称</w:t>
            </w:r>
          </w:p>
        </w:tc>
        <w:tc>
          <w:tcPr>
            <w:tcW w:w="1843" w:type="pct"/>
            <w:shd w:val="clear" w:color="auto" w:fill="auto"/>
            <w:vAlign w:val="center"/>
          </w:tcPr>
          <w:p w14:paraId="63DDF542">
            <w:pPr>
              <w:snapToGrid w:val="0"/>
              <w:spacing w:line="400" w:lineRule="atLeast"/>
              <w:jc w:val="center"/>
              <w:rPr>
                <w:rFonts w:ascii="Times New Roman" w:hAnsi="Times New Roman" w:eastAsia="宋体" w:cs="Times New Roman"/>
                <w:b/>
                <w:bCs/>
                <w:color w:val="000000"/>
                <w:sz w:val="18"/>
              </w:rPr>
            </w:pPr>
            <w:r>
              <w:rPr>
                <w:rFonts w:ascii="Times New Roman" w:hAnsi="Times New Roman" w:eastAsia="宋体" w:cs="Times New Roman"/>
                <w:b/>
                <w:bCs/>
                <w:color w:val="000000"/>
                <w:sz w:val="18"/>
              </w:rPr>
              <w:t>职务</w:t>
            </w:r>
          </w:p>
        </w:tc>
      </w:tr>
      <w:tr w14:paraId="4006C2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restart"/>
            <w:shd w:val="clear" w:color="auto" w:fill="auto"/>
            <w:vAlign w:val="center"/>
          </w:tcPr>
          <w:p w14:paraId="69B0AF66">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2024年</w:t>
            </w:r>
          </w:p>
        </w:tc>
        <w:tc>
          <w:tcPr>
            <w:tcW w:w="2161" w:type="pct"/>
            <w:shd w:val="clear" w:color="auto" w:fill="auto"/>
          </w:tcPr>
          <w:p w14:paraId="3A45CEC5">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惠州光弘科技股份有限公司</w:t>
            </w:r>
          </w:p>
        </w:tc>
        <w:tc>
          <w:tcPr>
            <w:tcW w:w="1843" w:type="pct"/>
            <w:vMerge w:val="restart"/>
            <w:shd w:val="clear" w:color="auto" w:fill="auto"/>
            <w:vAlign w:val="center"/>
          </w:tcPr>
          <w:p w14:paraId="231A38EE">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签字合伙人</w:t>
            </w:r>
          </w:p>
        </w:tc>
      </w:tr>
      <w:tr w14:paraId="1B4E0F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continue"/>
            <w:shd w:val="clear" w:color="auto" w:fill="auto"/>
            <w:vAlign w:val="center"/>
          </w:tcPr>
          <w:p w14:paraId="5E5BB464">
            <w:pPr>
              <w:snapToGrid w:val="0"/>
              <w:spacing w:line="400" w:lineRule="atLeast"/>
              <w:rPr>
                <w:rFonts w:ascii="Times New Roman" w:hAnsi="Times New Roman" w:eastAsia="宋体" w:cs="Times New Roman"/>
                <w:bCs/>
                <w:color w:val="000000"/>
                <w:sz w:val="18"/>
              </w:rPr>
            </w:pPr>
          </w:p>
        </w:tc>
        <w:tc>
          <w:tcPr>
            <w:tcW w:w="2161" w:type="pct"/>
            <w:shd w:val="clear" w:color="auto" w:fill="auto"/>
          </w:tcPr>
          <w:p w14:paraId="7F244028">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深圳市聚飞光电股份有限公司</w:t>
            </w:r>
          </w:p>
        </w:tc>
        <w:tc>
          <w:tcPr>
            <w:tcW w:w="1843" w:type="pct"/>
            <w:vMerge w:val="continue"/>
            <w:shd w:val="clear" w:color="auto" w:fill="auto"/>
            <w:vAlign w:val="center"/>
          </w:tcPr>
          <w:p w14:paraId="2CBE4AF3">
            <w:pPr>
              <w:snapToGrid w:val="0"/>
              <w:spacing w:line="400" w:lineRule="atLeast"/>
              <w:rPr>
                <w:rFonts w:ascii="Times New Roman" w:hAnsi="Times New Roman" w:eastAsia="宋体" w:cs="Times New Roman"/>
                <w:bCs/>
                <w:color w:val="000000"/>
                <w:sz w:val="18"/>
              </w:rPr>
            </w:pPr>
          </w:p>
        </w:tc>
      </w:tr>
      <w:tr w14:paraId="05B461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continue"/>
            <w:shd w:val="clear" w:color="auto" w:fill="auto"/>
            <w:vAlign w:val="center"/>
          </w:tcPr>
          <w:p w14:paraId="1CA3C668">
            <w:pPr>
              <w:snapToGrid w:val="0"/>
              <w:spacing w:line="400" w:lineRule="atLeast"/>
              <w:rPr>
                <w:rFonts w:ascii="Times New Roman" w:hAnsi="Times New Roman" w:eastAsia="宋体" w:cs="Times New Roman"/>
                <w:bCs/>
                <w:color w:val="000000"/>
                <w:sz w:val="18"/>
              </w:rPr>
            </w:pPr>
          </w:p>
        </w:tc>
        <w:tc>
          <w:tcPr>
            <w:tcW w:w="2161" w:type="pct"/>
            <w:shd w:val="clear" w:color="auto" w:fill="auto"/>
          </w:tcPr>
          <w:p w14:paraId="51FF3A1A">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东莞铭普光磁股份有限公司</w:t>
            </w:r>
          </w:p>
        </w:tc>
        <w:tc>
          <w:tcPr>
            <w:tcW w:w="1843" w:type="pct"/>
            <w:vMerge w:val="continue"/>
            <w:shd w:val="clear" w:color="auto" w:fill="auto"/>
            <w:vAlign w:val="center"/>
          </w:tcPr>
          <w:p w14:paraId="4764EBBC">
            <w:pPr>
              <w:snapToGrid w:val="0"/>
              <w:spacing w:line="400" w:lineRule="atLeast"/>
              <w:rPr>
                <w:rFonts w:ascii="Times New Roman" w:hAnsi="Times New Roman" w:eastAsia="宋体" w:cs="Times New Roman"/>
                <w:bCs/>
                <w:color w:val="000000"/>
                <w:sz w:val="18"/>
              </w:rPr>
            </w:pPr>
          </w:p>
        </w:tc>
      </w:tr>
      <w:tr w14:paraId="1D0673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continue"/>
            <w:shd w:val="clear" w:color="auto" w:fill="auto"/>
            <w:vAlign w:val="center"/>
          </w:tcPr>
          <w:p w14:paraId="740EC797">
            <w:pPr>
              <w:snapToGrid w:val="0"/>
              <w:spacing w:line="400" w:lineRule="atLeast"/>
              <w:rPr>
                <w:rFonts w:ascii="Times New Roman" w:hAnsi="Times New Roman" w:eastAsia="宋体" w:cs="Times New Roman"/>
                <w:bCs/>
                <w:color w:val="000000"/>
                <w:sz w:val="18"/>
              </w:rPr>
            </w:pPr>
          </w:p>
        </w:tc>
        <w:tc>
          <w:tcPr>
            <w:tcW w:w="2161" w:type="pct"/>
            <w:shd w:val="clear" w:color="auto" w:fill="auto"/>
          </w:tcPr>
          <w:p w14:paraId="760BF199">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深圳市核达中远通电源技术股份有限公司</w:t>
            </w:r>
          </w:p>
        </w:tc>
        <w:tc>
          <w:tcPr>
            <w:tcW w:w="1843" w:type="pct"/>
            <w:vMerge w:val="continue"/>
            <w:shd w:val="clear" w:color="auto" w:fill="auto"/>
            <w:vAlign w:val="center"/>
          </w:tcPr>
          <w:p w14:paraId="434083A0">
            <w:pPr>
              <w:snapToGrid w:val="0"/>
              <w:spacing w:line="400" w:lineRule="atLeast"/>
              <w:rPr>
                <w:rFonts w:ascii="Times New Roman" w:hAnsi="Times New Roman" w:eastAsia="宋体" w:cs="Times New Roman"/>
                <w:bCs/>
                <w:color w:val="000000"/>
                <w:sz w:val="18"/>
              </w:rPr>
            </w:pPr>
          </w:p>
        </w:tc>
      </w:tr>
      <w:tr w14:paraId="5D9AEB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restart"/>
            <w:shd w:val="clear" w:color="auto" w:fill="auto"/>
            <w:vAlign w:val="center"/>
          </w:tcPr>
          <w:p w14:paraId="1B8A08A9">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2023年</w:t>
            </w:r>
          </w:p>
        </w:tc>
        <w:tc>
          <w:tcPr>
            <w:tcW w:w="2161" w:type="pct"/>
            <w:shd w:val="clear" w:color="auto" w:fill="auto"/>
          </w:tcPr>
          <w:p w14:paraId="197B0B58">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惠州光弘科技股份有限公司</w:t>
            </w:r>
          </w:p>
        </w:tc>
        <w:tc>
          <w:tcPr>
            <w:tcW w:w="1843" w:type="pct"/>
            <w:vMerge w:val="restart"/>
            <w:shd w:val="clear" w:color="auto" w:fill="auto"/>
            <w:vAlign w:val="center"/>
          </w:tcPr>
          <w:p w14:paraId="206F018B">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签字合伙人</w:t>
            </w:r>
          </w:p>
        </w:tc>
      </w:tr>
      <w:tr w14:paraId="5FFC83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continue"/>
            <w:shd w:val="clear" w:color="auto" w:fill="auto"/>
            <w:vAlign w:val="center"/>
          </w:tcPr>
          <w:p w14:paraId="0D190850">
            <w:pPr>
              <w:snapToGrid w:val="0"/>
              <w:spacing w:line="400" w:lineRule="atLeast"/>
              <w:rPr>
                <w:rFonts w:ascii="Times New Roman" w:hAnsi="Times New Roman" w:eastAsia="宋体" w:cs="Times New Roman"/>
                <w:bCs/>
                <w:color w:val="000000"/>
                <w:sz w:val="18"/>
              </w:rPr>
            </w:pPr>
          </w:p>
        </w:tc>
        <w:tc>
          <w:tcPr>
            <w:tcW w:w="2161" w:type="pct"/>
            <w:shd w:val="clear" w:color="auto" w:fill="auto"/>
          </w:tcPr>
          <w:p w14:paraId="1460A774">
            <w:pPr>
              <w:snapToGrid w:val="0"/>
              <w:spacing w:line="400" w:lineRule="atLeast"/>
              <w:rPr>
                <w:rFonts w:ascii="Times New Roman" w:hAnsi="Times New Roman" w:eastAsia="宋体" w:cs="Times New Roman"/>
                <w:color w:val="000000"/>
                <w:sz w:val="18"/>
              </w:rPr>
            </w:pPr>
            <w:r>
              <w:rPr>
                <w:rFonts w:hint="eastAsia" w:ascii="Times New Roman" w:hAnsi="Times New Roman" w:eastAsia="宋体" w:cs="Times New Roman"/>
                <w:color w:val="000000"/>
                <w:sz w:val="18"/>
              </w:rPr>
              <w:t>深圳市聚飞光电股份有限公司</w:t>
            </w:r>
          </w:p>
        </w:tc>
        <w:tc>
          <w:tcPr>
            <w:tcW w:w="1843" w:type="pct"/>
            <w:vMerge w:val="continue"/>
            <w:shd w:val="clear" w:color="auto" w:fill="auto"/>
            <w:vAlign w:val="center"/>
          </w:tcPr>
          <w:p w14:paraId="5B04BE11">
            <w:pPr>
              <w:snapToGrid w:val="0"/>
              <w:spacing w:line="400" w:lineRule="atLeast"/>
              <w:rPr>
                <w:rFonts w:ascii="Times New Roman" w:hAnsi="Times New Roman" w:eastAsia="宋体" w:cs="Times New Roman"/>
                <w:bCs/>
                <w:color w:val="000000"/>
                <w:sz w:val="18"/>
              </w:rPr>
            </w:pPr>
          </w:p>
        </w:tc>
      </w:tr>
      <w:tr w14:paraId="0B91C6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continue"/>
            <w:shd w:val="clear" w:color="auto" w:fill="auto"/>
            <w:vAlign w:val="center"/>
          </w:tcPr>
          <w:p w14:paraId="1B462B02">
            <w:pPr>
              <w:snapToGrid w:val="0"/>
              <w:spacing w:line="400" w:lineRule="atLeast"/>
              <w:rPr>
                <w:rFonts w:ascii="Times New Roman" w:hAnsi="Times New Roman" w:eastAsia="宋体" w:cs="Times New Roman"/>
                <w:bCs/>
                <w:color w:val="000000"/>
                <w:sz w:val="18"/>
              </w:rPr>
            </w:pPr>
          </w:p>
        </w:tc>
        <w:tc>
          <w:tcPr>
            <w:tcW w:w="2161" w:type="pct"/>
            <w:shd w:val="clear" w:color="auto" w:fill="auto"/>
          </w:tcPr>
          <w:p w14:paraId="6DECBBF9">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东莞铭普光磁股份有限公司</w:t>
            </w:r>
          </w:p>
        </w:tc>
        <w:tc>
          <w:tcPr>
            <w:tcW w:w="1843" w:type="pct"/>
            <w:vMerge w:val="continue"/>
            <w:shd w:val="clear" w:color="auto" w:fill="auto"/>
            <w:vAlign w:val="center"/>
          </w:tcPr>
          <w:p w14:paraId="2DF42DE7">
            <w:pPr>
              <w:snapToGrid w:val="0"/>
              <w:spacing w:line="400" w:lineRule="atLeast"/>
              <w:rPr>
                <w:rFonts w:ascii="Times New Roman" w:hAnsi="Times New Roman" w:eastAsia="宋体" w:cs="Times New Roman"/>
                <w:bCs/>
                <w:color w:val="000000"/>
                <w:sz w:val="18"/>
              </w:rPr>
            </w:pPr>
          </w:p>
        </w:tc>
      </w:tr>
      <w:tr w14:paraId="7BB19E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continue"/>
            <w:shd w:val="clear" w:color="auto" w:fill="auto"/>
            <w:vAlign w:val="center"/>
          </w:tcPr>
          <w:p w14:paraId="72870537">
            <w:pPr>
              <w:snapToGrid w:val="0"/>
              <w:spacing w:line="400" w:lineRule="atLeast"/>
              <w:rPr>
                <w:rFonts w:ascii="Times New Roman" w:hAnsi="Times New Roman" w:eastAsia="宋体" w:cs="Times New Roman"/>
                <w:bCs/>
                <w:color w:val="000000"/>
                <w:sz w:val="18"/>
              </w:rPr>
            </w:pPr>
          </w:p>
        </w:tc>
        <w:tc>
          <w:tcPr>
            <w:tcW w:w="2161" w:type="pct"/>
            <w:shd w:val="clear" w:color="auto" w:fill="auto"/>
          </w:tcPr>
          <w:p w14:paraId="40E015A0">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深圳市核达中远通电源技术股份有限公司</w:t>
            </w:r>
          </w:p>
        </w:tc>
        <w:tc>
          <w:tcPr>
            <w:tcW w:w="1843" w:type="pct"/>
            <w:vMerge w:val="continue"/>
            <w:shd w:val="clear" w:color="auto" w:fill="auto"/>
            <w:vAlign w:val="center"/>
          </w:tcPr>
          <w:p w14:paraId="6FAA84B2">
            <w:pPr>
              <w:snapToGrid w:val="0"/>
              <w:spacing w:line="400" w:lineRule="atLeast"/>
              <w:rPr>
                <w:rFonts w:ascii="Times New Roman" w:hAnsi="Times New Roman" w:eastAsia="宋体" w:cs="Times New Roman"/>
                <w:bCs/>
                <w:color w:val="000000"/>
                <w:sz w:val="18"/>
              </w:rPr>
            </w:pPr>
          </w:p>
        </w:tc>
      </w:tr>
      <w:tr w14:paraId="751AED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restart"/>
            <w:shd w:val="clear" w:color="auto" w:fill="auto"/>
            <w:vAlign w:val="center"/>
          </w:tcPr>
          <w:p w14:paraId="68109AD8">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2022年</w:t>
            </w:r>
          </w:p>
        </w:tc>
        <w:tc>
          <w:tcPr>
            <w:tcW w:w="2161" w:type="pct"/>
            <w:shd w:val="clear" w:color="auto" w:fill="auto"/>
          </w:tcPr>
          <w:p w14:paraId="60114714">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东莞鼎通精密科技股份有限公司</w:t>
            </w:r>
          </w:p>
        </w:tc>
        <w:tc>
          <w:tcPr>
            <w:tcW w:w="1843" w:type="pct"/>
            <w:vMerge w:val="restart"/>
            <w:shd w:val="clear" w:color="auto" w:fill="auto"/>
            <w:vAlign w:val="center"/>
          </w:tcPr>
          <w:p w14:paraId="11E0B8B7">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签字合伙人</w:t>
            </w:r>
          </w:p>
        </w:tc>
      </w:tr>
      <w:tr w14:paraId="0E0B95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continue"/>
            <w:shd w:val="clear" w:color="auto" w:fill="auto"/>
            <w:vAlign w:val="center"/>
          </w:tcPr>
          <w:p w14:paraId="25261502">
            <w:pPr>
              <w:snapToGrid w:val="0"/>
              <w:spacing w:line="400" w:lineRule="atLeast"/>
              <w:rPr>
                <w:rFonts w:ascii="Times New Roman" w:hAnsi="Times New Roman" w:eastAsia="宋体" w:cs="Times New Roman"/>
                <w:bCs/>
                <w:color w:val="000000"/>
                <w:sz w:val="18"/>
              </w:rPr>
            </w:pPr>
          </w:p>
        </w:tc>
        <w:tc>
          <w:tcPr>
            <w:tcW w:w="2161" w:type="pct"/>
            <w:shd w:val="clear" w:color="auto" w:fill="auto"/>
          </w:tcPr>
          <w:p w14:paraId="4100AFE3">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深圳市聚飞光电股份有限公司</w:t>
            </w:r>
          </w:p>
        </w:tc>
        <w:tc>
          <w:tcPr>
            <w:tcW w:w="1843" w:type="pct"/>
            <w:vMerge w:val="continue"/>
            <w:shd w:val="clear" w:color="auto" w:fill="auto"/>
            <w:vAlign w:val="center"/>
          </w:tcPr>
          <w:p w14:paraId="52688037">
            <w:pPr>
              <w:snapToGrid w:val="0"/>
              <w:spacing w:line="400" w:lineRule="atLeast"/>
              <w:rPr>
                <w:rFonts w:ascii="Times New Roman" w:hAnsi="Times New Roman" w:eastAsia="宋体" w:cs="Times New Roman"/>
                <w:bCs/>
                <w:color w:val="000000"/>
                <w:sz w:val="18"/>
              </w:rPr>
            </w:pPr>
          </w:p>
        </w:tc>
      </w:tr>
      <w:tr w14:paraId="3BC697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vMerge w:val="continue"/>
            <w:shd w:val="clear" w:color="auto" w:fill="auto"/>
            <w:vAlign w:val="center"/>
          </w:tcPr>
          <w:p w14:paraId="3503417E">
            <w:pPr>
              <w:snapToGrid w:val="0"/>
              <w:spacing w:line="400" w:lineRule="atLeast"/>
              <w:rPr>
                <w:rFonts w:ascii="Times New Roman" w:hAnsi="Times New Roman" w:eastAsia="宋体" w:cs="Times New Roman"/>
                <w:bCs/>
                <w:color w:val="000000"/>
                <w:sz w:val="18"/>
              </w:rPr>
            </w:pPr>
          </w:p>
        </w:tc>
        <w:tc>
          <w:tcPr>
            <w:tcW w:w="2161" w:type="pct"/>
            <w:shd w:val="clear" w:color="auto" w:fill="auto"/>
          </w:tcPr>
          <w:p w14:paraId="58F446C7">
            <w:pPr>
              <w:snapToGrid w:val="0"/>
              <w:spacing w:line="400" w:lineRule="atLeas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东莞铭普光磁股份有限公司</w:t>
            </w:r>
          </w:p>
        </w:tc>
        <w:tc>
          <w:tcPr>
            <w:tcW w:w="1843" w:type="pct"/>
            <w:vMerge w:val="continue"/>
            <w:shd w:val="clear" w:color="auto" w:fill="auto"/>
            <w:vAlign w:val="center"/>
          </w:tcPr>
          <w:p w14:paraId="2E4C2F7D">
            <w:pPr>
              <w:snapToGrid w:val="0"/>
              <w:spacing w:line="400" w:lineRule="atLeast"/>
              <w:rPr>
                <w:rFonts w:ascii="Times New Roman" w:hAnsi="Times New Roman" w:eastAsia="宋体" w:cs="Times New Roman"/>
                <w:bCs/>
                <w:color w:val="000000"/>
                <w:sz w:val="18"/>
              </w:rPr>
            </w:pPr>
          </w:p>
        </w:tc>
      </w:tr>
    </w:tbl>
    <w:p w14:paraId="4CA20E68">
      <w:pPr>
        <w:snapToGrid w:val="0"/>
        <w:spacing w:line="400" w:lineRule="atLeast"/>
        <w:ind w:firstLine="480" w:firstLineChars="200"/>
        <w:rPr>
          <w:rFonts w:hint="eastAsia" w:ascii="宋体" w:hAnsi="宋体" w:eastAsia="宋体" w:cs="宋体"/>
          <w:bCs/>
          <w:sz w:val="24"/>
          <w:szCs w:val="24"/>
        </w:rPr>
      </w:pPr>
    </w:p>
    <w:bookmarkEnd w:id="0"/>
    <w:p w14:paraId="6E13C61A">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（2）签字注册会计师近三年从业情况：</w:t>
      </w:r>
    </w:p>
    <w:p w14:paraId="2FDDCD78">
      <w:pPr>
        <w:snapToGrid w:val="0"/>
        <w:spacing w:line="400" w:lineRule="atLeast"/>
        <w:ind w:firstLine="480" w:firstLineChars="200"/>
        <w:rPr>
          <w:rFonts w:ascii="Times New Roman" w:hAnsi="Times New Roman" w:cs="Times New Roman"/>
          <w:sz w:val="24"/>
          <w:szCs w:val="24"/>
        </w:rPr>
      </w:pPr>
      <w:r>
        <w:rPr>
          <w:rFonts w:ascii="Times New Roman" w:hAnsi="Times New Roman" w:cs="Times New Roman"/>
          <w:sz w:val="24"/>
          <w:szCs w:val="24"/>
        </w:rPr>
        <w:t xml:space="preserve">姓名： </w:t>
      </w:r>
      <w:r>
        <w:rPr>
          <w:rFonts w:hint="eastAsia" w:ascii="Times New Roman" w:hAnsi="Times New Roman" w:cs="Times New Roman"/>
          <w:sz w:val="24"/>
          <w:szCs w:val="24"/>
        </w:rPr>
        <w:t>卢伟胜</w:t>
      </w:r>
    </w:p>
    <w:tbl>
      <w:tblPr>
        <w:tblStyle w:val="24"/>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98"/>
        <w:gridCol w:w="3683"/>
        <w:gridCol w:w="3141"/>
      </w:tblGrid>
      <w:tr w14:paraId="0EB71A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996" w:type="pct"/>
            <w:shd w:val="clear" w:color="auto" w:fill="auto"/>
            <w:vAlign w:val="center"/>
          </w:tcPr>
          <w:p w14:paraId="5B95F85A">
            <w:pPr>
              <w:snapToGrid w:val="0"/>
              <w:spacing w:line="400" w:lineRule="atLeast"/>
              <w:jc w:val="center"/>
              <w:rPr>
                <w:rFonts w:ascii="Times New Roman" w:hAnsi="Times New Roman" w:eastAsia="宋体" w:cs="Times New Roman"/>
                <w:b/>
                <w:bCs/>
                <w:color w:val="000000"/>
                <w:sz w:val="18"/>
              </w:rPr>
            </w:pPr>
            <w:r>
              <w:rPr>
                <w:rFonts w:ascii="Times New Roman" w:hAnsi="Times New Roman" w:eastAsia="宋体" w:cs="Times New Roman"/>
                <w:b/>
                <w:bCs/>
                <w:color w:val="000000"/>
                <w:sz w:val="18"/>
              </w:rPr>
              <w:t>时间</w:t>
            </w:r>
          </w:p>
        </w:tc>
        <w:tc>
          <w:tcPr>
            <w:tcW w:w="2161" w:type="pct"/>
            <w:shd w:val="clear" w:color="auto" w:fill="auto"/>
            <w:vAlign w:val="center"/>
          </w:tcPr>
          <w:p w14:paraId="23656D90">
            <w:pPr>
              <w:snapToGrid w:val="0"/>
              <w:spacing w:line="400" w:lineRule="atLeast"/>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上市公司名称</w:t>
            </w:r>
          </w:p>
        </w:tc>
        <w:tc>
          <w:tcPr>
            <w:tcW w:w="1843" w:type="pct"/>
            <w:shd w:val="clear" w:color="auto" w:fill="auto"/>
            <w:vAlign w:val="center"/>
          </w:tcPr>
          <w:p w14:paraId="0528F120">
            <w:pPr>
              <w:snapToGrid w:val="0"/>
              <w:spacing w:line="400" w:lineRule="atLeast"/>
              <w:jc w:val="center"/>
              <w:rPr>
                <w:rFonts w:ascii="Times New Roman" w:hAnsi="Times New Roman" w:eastAsia="宋体" w:cs="Times New Roman"/>
                <w:b/>
                <w:bCs/>
                <w:color w:val="000000"/>
                <w:sz w:val="18"/>
              </w:rPr>
            </w:pPr>
            <w:r>
              <w:rPr>
                <w:rFonts w:ascii="Times New Roman" w:hAnsi="Times New Roman" w:eastAsia="宋体" w:cs="Times New Roman"/>
                <w:b/>
                <w:bCs/>
                <w:color w:val="000000"/>
                <w:sz w:val="18"/>
              </w:rPr>
              <w:t>职务</w:t>
            </w:r>
          </w:p>
        </w:tc>
      </w:tr>
      <w:tr w14:paraId="63A961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shd w:val="clear" w:color="auto" w:fill="auto"/>
            <w:vAlign w:val="center"/>
          </w:tcPr>
          <w:p w14:paraId="218E59A4">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color w:val="000000"/>
                <w:sz w:val="18"/>
              </w:rPr>
              <w:t>202</w:t>
            </w:r>
            <w:r>
              <w:rPr>
                <w:rFonts w:hint="eastAsia" w:ascii="Times New Roman" w:hAnsi="Times New Roman" w:eastAsia="宋体" w:cs="Times New Roman"/>
                <w:color w:val="000000"/>
                <w:sz w:val="18"/>
              </w:rPr>
              <w:t>4</w:t>
            </w:r>
            <w:r>
              <w:rPr>
                <w:rFonts w:ascii="Times New Roman" w:hAnsi="Times New Roman" w:eastAsia="宋体" w:cs="Times New Roman"/>
                <w:color w:val="000000"/>
                <w:sz w:val="18"/>
              </w:rPr>
              <w:t>年</w:t>
            </w:r>
          </w:p>
        </w:tc>
        <w:tc>
          <w:tcPr>
            <w:tcW w:w="2161" w:type="pct"/>
            <w:shd w:val="clear" w:color="auto" w:fill="auto"/>
            <w:vAlign w:val="center"/>
          </w:tcPr>
          <w:p w14:paraId="6D11BBBF">
            <w:pPr>
              <w:snapToGrid w:val="0"/>
              <w:spacing w:line="400" w:lineRule="atLeast"/>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深圳市核达中远通电源技术股份有限公司</w:t>
            </w:r>
          </w:p>
        </w:tc>
        <w:tc>
          <w:tcPr>
            <w:tcW w:w="1843" w:type="pct"/>
            <w:shd w:val="clear" w:color="auto" w:fill="auto"/>
            <w:vAlign w:val="center"/>
          </w:tcPr>
          <w:p w14:paraId="5C5C800D">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color w:val="000000"/>
                <w:sz w:val="18"/>
              </w:rPr>
              <w:t>签字注册会计师</w:t>
            </w:r>
          </w:p>
        </w:tc>
      </w:tr>
      <w:tr w14:paraId="4289DE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shd w:val="clear" w:color="auto" w:fill="auto"/>
            <w:vAlign w:val="center"/>
          </w:tcPr>
          <w:p w14:paraId="74159D83">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color w:val="000000"/>
                <w:sz w:val="18"/>
              </w:rPr>
              <w:t>202</w:t>
            </w:r>
            <w:r>
              <w:rPr>
                <w:rFonts w:hint="eastAsia" w:ascii="Times New Roman" w:hAnsi="Times New Roman" w:eastAsia="宋体" w:cs="Times New Roman"/>
                <w:color w:val="000000"/>
                <w:sz w:val="18"/>
              </w:rPr>
              <w:t>3</w:t>
            </w:r>
            <w:r>
              <w:rPr>
                <w:rFonts w:ascii="Times New Roman" w:hAnsi="Times New Roman" w:eastAsia="宋体" w:cs="Times New Roman"/>
                <w:color w:val="000000"/>
                <w:sz w:val="18"/>
              </w:rPr>
              <w:t>年</w:t>
            </w:r>
          </w:p>
        </w:tc>
        <w:tc>
          <w:tcPr>
            <w:tcW w:w="2161" w:type="pct"/>
            <w:shd w:val="clear" w:color="auto" w:fill="auto"/>
            <w:vAlign w:val="center"/>
          </w:tcPr>
          <w:p w14:paraId="7C489F1A">
            <w:pPr>
              <w:snapToGrid w:val="0"/>
              <w:spacing w:line="400" w:lineRule="atLeast"/>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深圳市核达中远通电源技术股份有限公司</w:t>
            </w:r>
          </w:p>
        </w:tc>
        <w:tc>
          <w:tcPr>
            <w:tcW w:w="1843" w:type="pct"/>
            <w:shd w:val="clear" w:color="auto" w:fill="auto"/>
            <w:vAlign w:val="center"/>
          </w:tcPr>
          <w:p w14:paraId="090C93AC">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color w:val="000000"/>
                <w:sz w:val="18"/>
              </w:rPr>
              <w:t>签字注册会计师</w:t>
            </w:r>
          </w:p>
        </w:tc>
      </w:tr>
      <w:tr w14:paraId="2789A8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6" w:type="pct"/>
            <w:shd w:val="clear" w:color="auto" w:fill="auto"/>
            <w:vAlign w:val="center"/>
          </w:tcPr>
          <w:p w14:paraId="3E2093B2">
            <w:pPr>
              <w:snapToGrid w:val="0"/>
              <w:spacing w:line="400" w:lineRule="atLeast"/>
              <w:jc w:val="center"/>
              <w:rPr>
                <w:rFonts w:ascii="Times New Roman" w:hAnsi="Times New Roman" w:eastAsia="宋体" w:cs="Times New Roman"/>
                <w:bCs/>
                <w:color w:val="000000"/>
                <w:sz w:val="18"/>
              </w:rPr>
            </w:pPr>
            <w:r>
              <w:rPr>
                <w:rFonts w:ascii="Times New Roman" w:hAnsi="Times New Roman" w:eastAsia="宋体" w:cs="Times New Roman"/>
                <w:color w:val="000000"/>
                <w:sz w:val="18"/>
              </w:rPr>
              <w:t>202</w:t>
            </w:r>
            <w:r>
              <w:rPr>
                <w:rFonts w:hint="eastAsia" w:ascii="Times New Roman" w:hAnsi="Times New Roman" w:eastAsia="宋体" w:cs="Times New Roman"/>
                <w:color w:val="000000"/>
                <w:sz w:val="18"/>
              </w:rPr>
              <w:t>2年</w:t>
            </w:r>
          </w:p>
        </w:tc>
        <w:tc>
          <w:tcPr>
            <w:tcW w:w="2161" w:type="pct"/>
            <w:shd w:val="clear" w:color="auto" w:fill="auto"/>
            <w:vAlign w:val="center"/>
          </w:tcPr>
          <w:p w14:paraId="02CEE7F6">
            <w:pPr>
              <w:snapToGrid w:val="0"/>
              <w:spacing w:line="400" w:lineRule="atLeast"/>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惠州光弘科技股份有限公司</w:t>
            </w:r>
          </w:p>
        </w:tc>
        <w:tc>
          <w:tcPr>
            <w:tcW w:w="1843" w:type="pct"/>
            <w:shd w:val="clear" w:color="auto" w:fill="auto"/>
            <w:vAlign w:val="center"/>
          </w:tcPr>
          <w:p w14:paraId="56A5891B">
            <w:pPr>
              <w:snapToGrid w:val="0"/>
              <w:spacing w:line="400" w:lineRule="atLeast"/>
              <w:jc w:val="center"/>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签字注册会计师</w:t>
            </w:r>
          </w:p>
        </w:tc>
      </w:tr>
    </w:tbl>
    <w:p w14:paraId="076C2A7B">
      <w:pPr>
        <w:snapToGrid w:val="0"/>
        <w:spacing w:line="400" w:lineRule="atLeast"/>
        <w:ind w:firstLine="560" w:firstLineChars="200"/>
        <w:rPr>
          <w:rFonts w:hint="eastAsia" w:ascii="宋体" w:hAnsi="宋体" w:eastAsia="宋体" w:cs="宋体"/>
          <w:sz w:val="28"/>
          <w:szCs w:val="28"/>
        </w:rPr>
      </w:pPr>
    </w:p>
    <w:p w14:paraId="3E15407D">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（3）质量控制复核人近三年从业情况：</w:t>
      </w:r>
    </w:p>
    <w:p w14:paraId="5057CC42">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姓名：柴喜峰</w:t>
      </w:r>
    </w:p>
    <w:tbl>
      <w:tblPr>
        <w:tblStyle w:val="24"/>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97"/>
        <w:gridCol w:w="3830"/>
        <w:gridCol w:w="2995"/>
      </w:tblGrid>
      <w:tr w14:paraId="2E8649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shd w:val="clear" w:color="auto" w:fill="auto"/>
            <w:vAlign w:val="center"/>
          </w:tcPr>
          <w:p w14:paraId="496DA965">
            <w:pPr>
              <w:snapToGrid w:val="0"/>
              <w:spacing w:line="240" w:lineRule="auto"/>
              <w:jc w:val="center"/>
              <w:rPr>
                <w:rFonts w:ascii="Times New Roman" w:hAnsi="Times New Roman" w:eastAsia="宋体" w:cs="Times New Roman"/>
                <w:b/>
                <w:bCs/>
                <w:color w:val="000000"/>
                <w:sz w:val="18"/>
              </w:rPr>
            </w:pPr>
            <w:r>
              <w:rPr>
                <w:rFonts w:ascii="Times New Roman" w:hAnsi="Times New Roman" w:eastAsia="宋体" w:cs="Times New Roman"/>
                <w:b/>
                <w:bCs/>
                <w:color w:val="000000"/>
                <w:sz w:val="18"/>
              </w:rPr>
              <w:t>时间</w:t>
            </w:r>
          </w:p>
        </w:tc>
        <w:tc>
          <w:tcPr>
            <w:tcW w:w="2247" w:type="pct"/>
            <w:shd w:val="clear" w:color="auto" w:fill="auto"/>
            <w:vAlign w:val="center"/>
          </w:tcPr>
          <w:p w14:paraId="0F0852FF">
            <w:pPr>
              <w:snapToGrid w:val="0"/>
              <w:spacing w:line="240" w:lineRule="auto"/>
              <w:jc w:val="center"/>
              <w:rPr>
                <w:rFonts w:ascii="Times New Roman" w:hAnsi="Times New Roman" w:eastAsia="宋体" w:cs="Times New Roman"/>
                <w:b/>
                <w:bCs/>
                <w:color w:val="000000"/>
                <w:sz w:val="18"/>
              </w:rPr>
            </w:pPr>
            <w:r>
              <w:rPr>
                <w:rFonts w:hint="eastAsia" w:ascii="Times New Roman" w:hAnsi="Times New Roman" w:eastAsia="宋体" w:cs="Times New Roman"/>
                <w:b/>
                <w:bCs/>
                <w:color w:val="000000"/>
                <w:sz w:val="18"/>
              </w:rPr>
              <w:t>上市公司和挂牌公司名称</w:t>
            </w:r>
          </w:p>
        </w:tc>
        <w:tc>
          <w:tcPr>
            <w:tcW w:w="1757" w:type="pct"/>
            <w:shd w:val="clear" w:color="auto" w:fill="auto"/>
            <w:vAlign w:val="center"/>
          </w:tcPr>
          <w:p w14:paraId="4D64C92B">
            <w:pPr>
              <w:snapToGrid w:val="0"/>
              <w:spacing w:line="240" w:lineRule="auto"/>
              <w:jc w:val="center"/>
              <w:rPr>
                <w:rFonts w:ascii="Times New Roman" w:hAnsi="Times New Roman" w:eastAsia="宋体" w:cs="Times New Roman"/>
                <w:b/>
                <w:bCs/>
                <w:color w:val="000000"/>
                <w:sz w:val="18"/>
              </w:rPr>
            </w:pPr>
            <w:r>
              <w:rPr>
                <w:rFonts w:ascii="Times New Roman" w:hAnsi="Times New Roman" w:eastAsia="宋体" w:cs="Times New Roman"/>
                <w:b/>
                <w:bCs/>
                <w:color w:val="000000"/>
                <w:sz w:val="18"/>
              </w:rPr>
              <w:t>职务</w:t>
            </w:r>
          </w:p>
        </w:tc>
      </w:tr>
      <w:tr w14:paraId="38D450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vMerge w:val="restart"/>
            <w:shd w:val="clear" w:color="auto" w:fill="auto"/>
            <w:vAlign w:val="center"/>
          </w:tcPr>
          <w:p w14:paraId="70CC9BEB">
            <w:pPr>
              <w:snapToGrid w:val="0"/>
              <w:spacing w:line="240" w:lineRule="auto"/>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2024年</w:t>
            </w:r>
          </w:p>
        </w:tc>
        <w:tc>
          <w:tcPr>
            <w:tcW w:w="2247" w:type="pct"/>
            <w:shd w:val="clear" w:color="auto" w:fill="auto"/>
            <w:vAlign w:val="center"/>
          </w:tcPr>
          <w:p w14:paraId="74867124">
            <w:pPr>
              <w:snapToGrid w:val="0"/>
              <w:spacing w:line="240" w:lineRule="auto"/>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深圳市科信通信技术股份有限公司</w:t>
            </w:r>
          </w:p>
        </w:tc>
        <w:tc>
          <w:tcPr>
            <w:tcW w:w="1757" w:type="pct"/>
            <w:vMerge w:val="restart"/>
            <w:shd w:val="clear" w:color="auto" w:fill="auto"/>
            <w:vAlign w:val="center"/>
          </w:tcPr>
          <w:p w14:paraId="64AF6C22">
            <w:pPr>
              <w:snapToGrid w:val="0"/>
              <w:spacing w:line="240" w:lineRule="auto"/>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签字注册会计师</w:t>
            </w:r>
          </w:p>
        </w:tc>
      </w:tr>
      <w:tr w14:paraId="0E8BC1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vMerge w:val="continue"/>
            <w:shd w:val="clear" w:color="auto" w:fill="auto"/>
            <w:vAlign w:val="center"/>
          </w:tcPr>
          <w:p w14:paraId="109B37C5">
            <w:pPr>
              <w:snapToGrid w:val="0"/>
              <w:spacing w:line="400" w:lineRule="atLeast"/>
              <w:jc w:val="center"/>
              <w:rPr>
                <w:rFonts w:ascii="Times New Roman" w:hAnsi="Times New Roman" w:eastAsia="宋体" w:cs="Times New Roman"/>
                <w:bCs/>
                <w:color w:val="000000"/>
                <w:sz w:val="18"/>
              </w:rPr>
            </w:pPr>
          </w:p>
        </w:tc>
        <w:tc>
          <w:tcPr>
            <w:tcW w:w="2247" w:type="pct"/>
            <w:shd w:val="clear" w:color="auto" w:fill="auto"/>
            <w:vAlign w:val="center"/>
          </w:tcPr>
          <w:p w14:paraId="2DB74D72">
            <w:pPr>
              <w:snapToGrid w:val="0"/>
              <w:spacing w:line="240" w:lineRule="auto"/>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广东拓斯达科技股份有限公司</w:t>
            </w:r>
          </w:p>
        </w:tc>
        <w:tc>
          <w:tcPr>
            <w:tcW w:w="1757" w:type="pct"/>
            <w:vMerge w:val="continue"/>
            <w:shd w:val="clear" w:color="auto" w:fill="auto"/>
            <w:vAlign w:val="center"/>
          </w:tcPr>
          <w:p w14:paraId="6C22CFD3">
            <w:pPr>
              <w:snapToGrid w:val="0"/>
              <w:spacing w:line="400" w:lineRule="atLeast"/>
              <w:jc w:val="center"/>
              <w:rPr>
                <w:rFonts w:ascii="Times New Roman" w:hAnsi="Times New Roman" w:eastAsia="宋体" w:cs="Times New Roman"/>
                <w:bCs/>
                <w:color w:val="000000"/>
                <w:sz w:val="18"/>
              </w:rPr>
            </w:pPr>
          </w:p>
        </w:tc>
      </w:tr>
      <w:tr w14:paraId="36850A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vMerge w:val="continue"/>
            <w:shd w:val="clear" w:color="auto" w:fill="auto"/>
            <w:vAlign w:val="center"/>
          </w:tcPr>
          <w:p w14:paraId="4421643E">
            <w:pPr>
              <w:snapToGrid w:val="0"/>
              <w:spacing w:line="240" w:lineRule="auto"/>
              <w:jc w:val="center"/>
              <w:rPr>
                <w:rFonts w:ascii="Times New Roman" w:hAnsi="Times New Roman" w:eastAsia="宋体" w:cs="Times New Roman"/>
                <w:bCs/>
                <w:color w:val="000000"/>
                <w:sz w:val="18"/>
              </w:rPr>
            </w:pPr>
          </w:p>
        </w:tc>
        <w:tc>
          <w:tcPr>
            <w:tcW w:w="2247" w:type="pct"/>
            <w:shd w:val="clear" w:color="auto" w:fill="auto"/>
            <w:vAlign w:val="center"/>
          </w:tcPr>
          <w:p w14:paraId="500F7045">
            <w:pPr>
              <w:snapToGrid w:val="0"/>
              <w:spacing w:line="240" w:lineRule="auto"/>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深圳明阳电路科技股份有限公司</w:t>
            </w:r>
          </w:p>
        </w:tc>
        <w:tc>
          <w:tcPr>
            <w:tcW w:w="1757" w:type="pct"/>
            <w:vMerge w:val="continue"/>
            <w:shd w:val="clear" w:color="auto" w:fill="auto"/>
            <w:vAlign w:val="center"/>
          </w:tcPr>
          <w:p w14:paraId="7B52E76C">
            <w:pPr>
              <w:snapToGrid w:val="0"/>
              <w:spacing w:line="240" w:lineRule="auto"/>
              <w:jc w:val="center"/>
              <w:rPr>
                <w:rFonts w:ascii="Times New Roman" w:hAnsi="Times New Roman" w:eastAsia="宋体" w:cs="Times New Roman"/>
                <w:bCs/>
                <w:color w:val="000000"/>
                <w:sz w:val="18"/>
              </w:rPr>
            </w:pPr>
          </w:p>
        </w:tc>
      </w:tr>
      <w:tr w14:paraId="7E8E5B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vMerge w:val="continue"/>
            <w:shd w:val="clear" w:color="auto" w:fill="auto"/>
            <w:vAlign w:val="center"/>
          </w:tcPr>
          <w:p w14:paraId="473181C1">
            <w:pPr>
              <w:snapToGrid w:val="0"/>
              <w:spacing w:line="400" w:lineRule="atLeast"/>
              <w:jc w:val="center"/>
              <w:rPr>
                <w:rFonts w:ascii="Times New Roman" w:hAnsi="Times New Roman" w:eastAsia="宋体" w:cs="Times New Roman"/>
                <w:bCs/>
                <w:color w:val="000000"/>
                <w:sz w:val="18"/>
              </w:rPr>
            </w:pPr>
          </w:p>
        </w:tc>
        <w:tc>
          <w:tcPr>
            <w:tcW w:w="2247" w:type="pct"/>
            <w:shd w:val="clear" w:color="auto" w:fill="auto"/>
            <w:vAlign w:val="center"/>
          </w:tcPr>
          <w:p w14:paraId="514BB41C">
            <w:pPr>
              <w:snapToGrid w:val="0"/>
              <w:spacing w:line="240" w:lineRule="auto"/>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深南电路股份有限公司</w:t>
            </w:r>
          </w:p>
        </w:tc>
        <w:tc>
          <w:tcPr>
            <w:tcW w:w="1757" w:type="pct"/>
            <w:vMerge w:val="continue"/>
            <w:shd w:val="clear" w:color="auto" w:fill="auto"/>
            <w:vAlign w:val="center"/>
          </w:tcPr>
          <w:p w14:paraId="60497EB2">
            <w:pPr>
              <w:snapToGrid w:val="0"/>
              <w:spacing w:line="400" w:lineRule="atLeast"/>
              <w:jc w:val="center"/>
              <w:rPr>
                <w:rFonts w:ascii="Times New Roman" w:hAnsi="Times New Roman" w:eastAsia="宋体" w:cs="Times New Roman"/>
                <w:bCs/>
                <w:color w:val="000000"/>
                <w:sz w:val="18"/>
              </w:rPr>
            </w:pPr>
          </w:p>
        </w:tc>
      </w:tr>
      <w:tr w14:paraId="49FD98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vMerge w:val="continue"/>
            <w:shd w:val="clear" w:color="auto" w:fill="auto"/>
            <w:vAlign w:val="center"/>
          </w:tcPr>
          <w:p w14:paraId="28F86798">
            <w:pPr>
              <w:snapToGrid w:val="0"/>
              <w:spacing w:line="240" w:lineRule="auto"/>
              <w:jc w:val="center"/>
              <w:rPr>
                <w:rFonts w:ascii="Times New Roman" w:hAnsi="Times New Roman" w:eastAsia="宋体" w:cs="Times New Roman"/>
                <w:bCs/>
                <w:color w:val="000000"/>
                <w:sz w:val="18"/>
              </w:rPr>
            </w:pPr>
          </w:p>
        </w:tc>
        <w:tc>
          <w:tcPr>
            <w:tcW w:w="2247" w:type="pct"/>
            <w:shd w:val="clear" w:color="auto" w:fill="auto"/>
            <w:vAlign w:val="center"/>
          </w:tcPr>
          <w:p w14:paraId="5CAB01A4">
            <w:pPr>
              <w:snapToGrid w:val="0"/>
              <w:spacing w:line="240" w:lineRule="auto"/>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广东道氏技术股份有限公司</w:t>
            </w:r>
          </w:p>
        </w:tc>
        <w:tc>
          <w:tcPr>
            <w:tcW w:w="1757" w:type="pct"/>
            <w:vMerge w:val="continue"/>
            <w:shd w:val="clear" w:color="auto" w:fill="auto"/>
            <w:vAlign w:val="center"/>
          </w:tcPr>
          <w:p w14:paraId="276ADF19">
            <w:pPr>
              <w:snapToGrid w:val="0"/>
              <w:spacing w:line="240" w:lineRule="auto"/>
              <w:jc w:val="center"/>
              <w:rPr>
                <w:rFonts w:ascii="Times New Roman" w:hAnsi="Times New Roman" w:eastAsia="宋体" w:cs="Times New Roman"/>
                <w:bCs/>
                <w:color w:val="000000"/>
                <w:sz w:val="18"/>
              </w:rPr>
            </w:pPr>
          </w:p>
        </w:tc>
      </w:tr>
      <w:tr w14:paraId="15DA10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vMerge w:val="restart"/>
            <w:shd w:val="clear" w:color="auto" w:fill="auto"/>
            <w:vAlign w:val="center"/>
          </w:tcPr>
          <w:p w14:paraId="20DDA3B6">
            <w:pPr>
              <w:snapToGrid w:val="0"/>
              <w:spacing w:line="240" w:lineRule="auto"/>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2023年</w:t>
            </w:r>
          </w:p>
        </w:tc>
        <w:tc>
          <w:tcPr>
            <w:tcW w:w="2247" w:type="pct"/>
            <w:shd w:val="clear" w:color="auto" w:fill="auto"/>
            <w:vAlign w:val="center"/>
          </w:tcPr>
          <w:p w14:paraId="71DE3FA7">
            <w:pPr>
              <w:snapToGrid w:val="0"/>
              <w:spacing w:line="240" w:lineRule="auto"/>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深圳明阳电路科技股份有限公司</w:t>
            </w:r>
          </w:p>
        </w:tc>
        <w:tc>
          <w:tcPr>
            <w:tcW w:w="1757" w:type="pct"/>
            <w:vMerge w:val="restart"/>
            <w:shd w:val="clear" w:color="auto" w:fill="auto"/>
            <w:vAlign w:val="center"/>
          </w:tcPr>
          <w:p w14:paraId="763CCEE5">
            <w:pPr>
              <w:snapToGrid w:val="0"/>
              <w:spacing w:line="240" w:lineRule="auto"/>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签字注册会计师</w:t>
            </w:r>
          </w:p>
        </w:tc>
      </w:tr>
      <w:tr w14:paraId="2288B4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vMerge w:val="continue"/>
            <w:shd w:val="clear" w:color="auto" w:fill="auto"/>
            <w:vAlign w:val="center"/>
          </w:tcPr>
          <w:p w14:paraId="2798363F">
            <w:pPr>
              <w:snapToGrid w:val="0"/>
              <w:spacing w:line="400" w:lineRule="atLeast"/>
              <w:jc w:val="center"/>
              <w:rPr>
                <w:rFonts w:ascii="Times New Roman" w:hAnsi="Times New Roman" w:eastAsia="宋体" w:cs="Times New Roman"/>
                <w:bCs/>
                <w:color w:val="000000"/>
                <w:sz w:val="18"/>
              </w:rPr>
            </w:pPr>
          </w:p>
        </w:tc>
        <w:tc>
          <w:tcPr>
            <w:tcW w:w="2247" w:type="pct"/>
            <w:shd w:val="clear" w:color="auto" w:fill="auto"/>
            <w:vAlign w:val="center"/>
          </w:tcPr>
          <w:p w14:paraId="1565E608">
            <w:pPr>
              <w:snapToGrid w:val="0"/>
              <w:spacing w:line="240" w:lineRule="auto"/>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深南电路股份有限公司</w:t>
            </w:r>
          </w:p>
        </w:tc>
        <w:tc>
          <w:tcPr>
            <w:tcW w:w="1757" w:type="pct"/>
            <w:vMerge w:val="continue"/>
            <w:shd w:val="clear" w:color="auto" w:fill="auto"/>
            <w:vAlign w:val="center"/>
          </w:tcPr>
          <w:p w14:paraId="01367DE7">
            <w:pPr>
              <w:snapToGrid w:val="0"/>
              <w:spacing w:line="400" w:lineRule="atLeast"/>
              <w:jc w:val="center"/>
              <w:rPr>
                <w:rFonts w:ascii="Times New Roman" w:hAnsi="Times New Roman" w:eastAsia="宋体" w:cs="Times New Roman"/>
                <w:bCs/>
                <w:color w:val="000000"/>
                <w:sz w:val="18"/>
              </w:rPr>
            </w:pPr>
          </w:p>
        </w:tc>
      </w:tr>
      <w:tr w14:paraId="5E314D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996" w:type="pct"/>
            <w:vMerge w:val="continue"/>
            <w:shd w:val="clear" w:color="auto" w:fill="auto"/>
            <w:vAlign w:val="center"/>
          </w:tcPr>
          <w:p w14:paraId="69B0C745">
            <w:pPr>
              <w:snapToGrid w:val="0"/>
              <w:spacing w:line="240" w:lineRule="auto"/>
              <w:jc w:val="center"/>
              <w:rPr>
                <w:rFonts w:ascii="Times New Roman" w:hAnsi="Times New Roman" w:eastAsia="宋体" w:cs="Times New Roman"/>
                <w:bCs/>
                <w:color w:val="000000"/>
                <w:sz w:val="18"/>
              </w:rPr>
            </w:pPr>
          </w:p>
        </w:tc>
        <w:tc>
          <w:tcPr>
            <w:tcW w:w="2247" w:type="pct"/>
            <w:shd w:val="clear" w:color="auto" w:fill="auto"/>
            <w:vAlign w:val="center"/>
          </w:tcPr>
          <w:p w14:paraId="3DD985B9">
            <w:pPr>
              <w:snapToGrid w:val="0"/>
              <w:spacing w:line="240" w:lineRule="auto"/>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成都长城开发科技股份有限公司</w:t>
            </w:r>
          </w:p>
        </w:tc>
        <w:tc>
          <w:tcPr>
            <w:tcW w:w="1757" w:type="pct"/>
            <w:vMerge w:val="continue"/>
            <w:shd w:val="clear" w:color="auto" w:fill="auto"/>
            <w:vAlign w:val="center"/>
          </w:tcPr>
          <w:p w14:paraId="5CEBD403">
            <w:pPr>
              <w:snapToGrid w:val="0"/>
              <w:spacing w:line="240" w:lineRule="auto"/>
              <w:jc w:val="center"/>
              <w:rPr>
                <w:rFonts w:ascii="Times New Roman" w:hAnsi="Times New Roman" w:eastAsia="宋体" w:cs="Times New Roman"/>
                <w:bCs/>
                <w:color w:val="000000"/>
                <w:sz w:val="18"/>
              </w:rPr>
            </w:pPr>
          </w:p>
        </w:tc>
      </w:tr>
      <w:tr w14:paraId="3FDB4A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996" w:type="pct"/>
            <w:vMerge w:val="restart"/>
            <w:shd w:val="clear" w:color="auto" w:fill="auto"/>
            <w:vAlign w:val="center"/>
          </w:tcPr>
          <w:p w14:paraId="0D92FEB2">
            <w:pPr>
              <w:snapToGrid w:val="0"/>
              <w:spacing w:line="240" w:lineRule="auto"/>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2022年</w:t>
            </w:r>
          </w:p>
        </w:tc>
        <w:tc>
          <w:tcPr>
            <w:tcW w:w="2247" w:type="pct"/>
            <w:shd w:val="clear" w:color="auto" w:fill="auto"/>
            <w:vAlign w:val="center"/>
          </w:tcPr>
          <w:p w14:paraId="5B41B978">
            <w:pPr>
              <w:snapToGrid w:val="0"/>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深圳明阳电路科技股份有限公司</w:t>
            </w:r>
          </w:p>
        </w:tc>
        <w:tc>
          <w:tcPr>
            <w:tcW w:w="1757" w:type="pct"/>
            <w:vMerge w:val="restart"/>
            <w:shd w:val="clear" w:color="auto" w:fill="auto"/>
            <w:vAlign w:val="center"/>
          </w:tcPr>
          <w:p w14:paraId="03752363">
            <w:pPr>
              <w:snapToGrid w:val="0"/>
              <w:jc w:val="center"/>
              <w:rPr>
                <w:rFonts w:ascii="Times New Roman" w:hAnsi="Times New Roman" w:eastAsia="宋体" w:cs="Times New Roman"/>
                <w:bCs/>
                <w:color w:val="000000"/>
                <w:sz w:val="18"/>
              </w:rPr>
            </w:pPr>
            <w:r>
              <w:rPr>
                <w:rFonts w:hint="eastAsia" w:ascii="Times New Roman" w:hAnsi="Times New Roman" w:eastAsia="宋体" w:cs="Times New Roman"/>
                <w:bCs/>
                <w:color w:val="000000"/>
                <w:sz w:val="18"/>
              </w:rPr>
              <w:t>签字注册会计师</w:t>
            </w:r>
          </w:p>
        </w:tc>
      </w:tr>
      <w:tr w14:paraId="5AF122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996" w:type="pct"/>
            <w:vMerge w:val="continue"/>
            <w:shd w:val="clear" w:color="auto" w:fill="auto"/>
            <w:vAlign w:val="center"/>
          </w:tcPr>
          <w:p w14:paraId="14643086">
            <w:pPr>
              <w:snapToGrid w:val="0"/>
              <w:spacing w:line="240" w:lineRule="auto"/>
              <w:rPr>
                <w:rFonts w:ascii="Times New Roman" w:hAnsi="Times New Roman" w:eastAsia="宋体" w:cs="Times New Roman"/>
                <w:bCs/>
                <w:color w:val="000000"/>
                <w:sz w:val="18"/>
              </w:rPr>
            </w:pPr>
          </w:p>
        </w:tc>
        <w:tc>
          <w:tcPr>
            <w:tcW w:w="2247" w:type="pct"/>
            <w:shd w:val="clear" w:color="auto" w:fill="auto"/>
            <w:vAlign w:val="center"/>
          </w:tcPr>
          <w:p w14:paraId="62A6390E">
            <w:pPr>
              <w:snapToGrid w:val="0"/>
              <w:jc w:val="left"/>
              <w:rPr>
                <w:rFonts w:ascii="Times New Roman" w:hAnsi="Times New Roman" w:eastAsia="宋体" w:cs="Times New Roman"/>
                <w:bCs/>
                <w:color w:val="000000"/>
                <w:sz w:val="18"/>
              </w:rPr>
            </w:pPr>
            <w:r>
              <w:rPr>
                <w:rFonts w:hint="eastAsia" w:ascii="Times New Roman" w:hAnsi="Times New Roman" w:eastAsia="宋体" w:cs="Times New Roman"/>
                <w:color w:val="000000"/>
                <w:sz w:val="18"/>
              </w:rPr>
              <w:t>深南电路股份有限公司</w:t>
            </w:r>
          </w:p>
        </w:tc>
        <w:tc>
          <w:tcPr>
            <w:tcW w:w="1757" w:type="pct"/>
            <w:vMerge w:val="continue"/>
            <w:shd w:val="clear" w:color="auto" w:fill="auto"/>
            <w:vAlign w:val="center"/>
          </w:tcPr>
          <w:p w14:paraId="1DE7A6A7">
            <w:pPr>
              <w:snapToGrid w:val="0"/>
              <w:jc w:val="left"/>
              <w:rPr>
                <w:rFonts w:ascii="Times New Roman" w:hAnsi="Times New Roman" w:eastAsia="宋体" w:cs="Times New Roman"/>
                <w:bCs/>
                <w:color w:val="000000"/>
                <w:sz w:val="18"/>
              </w:rPr>
            </w:pPr>
          </w:p>
        </w:tc>
      </w:tr>
    </w:tbl>
    <w:p w14:paraId="14B8DDD5">
      <w:pPr>
        <w:spacing w:line="360" w:lineRule="auto"/>
        <w:rPr>
          <w:rFonts w:asciiTheme="minorEastAsia" w:hAnsiTheme="minorEastAsia" w:eastAsiaTheme="minorEastAsia"/>
          <w:b/>
          <w:color w:val="000000"/>
          <w:kern w:val="0"/>
          <w:sz w:val="24"/>
        </w:rPr>
      </w:pPr>
    </w:p>
    <w:p w14:paraId="62C713D0">
      <w:pPr>
        <w:numPr>
          <w:ilvl w:val="0"/>
          <w:numId w:val="1"/>
        </w:numPr>
        <w:spacing w:line="360" w:lineRule="auto"/>
        <w:ind w:firstLine="480" w:firstLineChars="200"/>
        <w:rPr>
          <w:rFonts w:asciiTheme="minorEastAsia" w:hAnsiTheme="minorEastAsia" w:eastAsiaTheme="minorEastAsia"/>
          <w:b w:val="0"/>
          <w:bCs/>
          <w:color w:val="000000"/>
          <w:kern w:val="0"/>
          <w:sz w:val="24"/>
        </w:rPr>
      </w:pPr>
      <w:r>
        <w:rPr>
          <w:rFonts w:hint="eastAsia" w:asciiTheme="minorEastAsia" w:hAnsiTheme="minorEastAsia" w:eastAsiaTheme="minorEastAsia"/>
          <w:b w:val="0"/>
          <w:bCs/>
          <w:color w:val="000000"/>
          <w:kern w:val="0"/>
          <w:sz w:val="24"/>
        </w:rPr>
        <w:t>诚信记录</w:t>
      </w:r>
    </w:p>
    <w:p w14:paraId="4D7B5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 w:val="0"/>
          <w:bCs/>
          <w:color w:val="000000"/>
          <w:kern w:val="0"/>
          <w:sz w:val="24"/>
        </w:rPr>
      </w:pPr>
      <w:r>
        <w:rPr>
          <w:rFonts w:hint="eastAsia" w:asciiTheme="minorEastAsia" w:hAnsiTheme="minorEastAsia" w:eastAsiaTheme="minorEastAsia"/>
          <w:b w:val="0"/>
          <w:bCs/>
          <w:color w:val="000000"/>
          <w:kern w:val="0"/>
          <w:sz w:val="24"/>
        </w:rPr>
        <w:t>项目合伙人、签字注册会计师和质量控制复核人近三年不存在因执业行为受到刑事处罚，不存在受到证监会及其派出机构、行业主管部门等的行政处罚、监督管理措施，不存在受到证券交易所、行业协会等自律组织的自律监管措施、纪律处分的情况。</w:t>
      </w:r>
    </w:p>
    <w:p w14:paraId="7F5B40A1">
      <w:pPr>
        <w:numPr>
          <w:ilvl w:val="0"/>
          <w:numId w:val="1"/>
        </w:numPr>
        <w:spacing w:line="360" w:lineRule="auto"/>
        <w:ind w:firstLine="480" w:firstLineChars="200"/>
        <w:rPr>
          <w:rFonts w:hint="eastAsia" w:asciiTheme="minorEastAsia" w:hAnsiTheme="minorEastAsia" w:eastAsiaTheme="minorEastAsia"/>
          <w:b w:val="0"/>
          <w:bCs/>
          <w:color w:val="000000"/>
          <w:kern w:val="0"/>
          <w:sz w:val="24"/>
        </w:rPr>
      </w:pPr>
      <w:r>
        <w:rPr>
          <w:rFonts w:hint="eastAsia" w:asciiTheme="minorEastAsia" w:hAnsiTheme="minorEastAsia" w:eastAsiaTheme="minorEastAsia"/>
          <w:b w:val="0"/>
          <w:bCs/>
          <w:color w:val="000000"/>
          <w:kern w:val="0"/>
          <w:sz w:val="24"/>
        </w:rPr>
        <w:t>独立性</w:t>
      </w:r>
    </w:p>
    <w:p w14:paraId="783E3BF7">
      <w:pPr>
        <w:pStyle w:val="22"/>
        <w:spacing w:line="360" w:lineRule="auto"/>
        <w:ind w:firstLine="480" w:firstLineChars="200"/>
        <w:rPr>
          <w:rFonts w:hAnsi="宋体"/>
          <w:color w:val="auto"/>
          <w:kern w:val="2"/>
        </w:rPr>
      </w:pPr>
      <w:r>
        <w:rPr>
          <w:rFonts w:hint="eastAsia" w:hAnsi="宋体"/>
          <w:color w:val="auto"/>
          <w:kern w:val="2"/>
          <w:lang w:val="en-US" w:eastAsia="zh-CN"/>
        </w:rPr>
        <w:t>立信及</w:t>
      </w:r>
      <w:r>
        <w:rPr>
          <w:rFonts w:hint="eastAsia" w:hAnsi="宋体"/>
          <w:color w:val="auto"/>
          <w:kern w:val="2"/>
        </w:rPr>
        <w:t>项目合伙人、签字注册会计师和质量控制复核人不存在违反《中国注册会计师职业道德守则》对独立性要求的情形。</w:t>
      </w:r>
    </w:p>
    <w:p w14:paraId="5996A259">
      <w:pPr>
        <w:pStyle w:val="22"/>
        <w:spacing w:line="360" w:lineRule="auto"/>
        <w:ind w:firstLine="480" w:firstLineChars="200"/>
        <w:rPr>
          <w:rFonts w:hAnsi="宋体"/>
          <w:b w:val="0"/>
          <w:bCs/>
        </w:rPr>
      </w:pPr>
      <w:r>
        <w:rPr>
          <w:rFonts w:hint="eastAsia" w:hAnsi="宋体"/>
          <w:b w:val="0"/>
          <w:bCs/>
          <w:lang w:val="en-US" w:eastAsia="zh-CN"/>
        </w:rPr>
        <w:t>4</w:t>
      </w:r>
      <w:r>
        <w:rPr>
          <w:rFonts w:hint="eastAsia" w:hAnsi="宋体"/>
          <w:b w:val="0"/>
          <w:bCs/>
        </w:rPr>
        <w:t>、审计收费</w:t>
      </w:r>
    </w:p>
    <w:p w14:paraId="2C9825AD">
      <w:pPr>
        <w:pStyle w:val="22"/>
        <w:spacing w:line="360" w:lineRule="auto"/>
        <w:ind w:firstLine="480" w:firstLineChars="200"/>
        <w:rPr>
          <w:rFonts w:hAnsi="宋体"/>
        </w:rPr>
      </w:pPr>
      <w:r>
        <w:rPr>
          <w:rFonts w:hint="eastAsia" w:hAnsi="宋体"/>
        </w:rPr>
        <w:t>立信审计费用主要基于专业服务所承担的责任和需投入专业技术的程度，综合考虑参与工作员工的经验和级别相应的收费率以及投入的工作时间等因素定价。公司董事会提请公司股东大会授权公司管理层根据公司202</w:t>
      </w:r>
      <w:r>
        <w:rPr>
          <w:rFonts w:hint="eastAsia" w:hAnsi="宋体"/>
          <w:lang w:val="en-US" w:eastAsia="zh-CN"/>
        </w:rPr>
        <w:t>5</w:t>
      </w:r>
      <w:r>
        <w:rPr>
          <w:rFonts w:hint="eastAsia" w:hAnsi="宋体"/>
        </w:rPr>
        <w:t>年度具体的审计要求和审计范围，参照行业标准与立信协商确定202</w:t>
      </w:r>
      <w:r>
        <w:rPr>
          <w:rFonts w:hint="eastAsia" w:hAnsi="宋体"/>
          <w:lang w:val="en-US" w:eastAsia="zh-CN"/>
        </w:rPr>
        <w:t>5</w:t>
      </w:r>
      <w:r>
        <w:rPr>
          <w:rFonts w:hint="eastAsia" w:hAnsi="宋体"/>
        </w:rPr>
        <w:t>年度的审计费用。</w:t>
      </w:r>
    </w:p>
    <w:p w14:paraId="2A27F804">
      <w:pPr>
        <w:pStyle w:val="22"/>
        <w:rPr>
          <w:rFonts w:hAnsi="宋体"/>
        </w:rPr>
      </w:pPr>
      <w:r>
        <w:rPr>
          <w:rFonts w:hint="eastAsia" w:hAnsi="宋体"/>
        </w:rPr>
        <w:tab/>
      </w:r>
      <w:r>
        <w:rPr>
          <w:rFonts w:hint="eastAsia" w:hAnsi="宋体"/>
        </w:rPr>
        <w:tab/>
      </w:r>
    </w:p>
    <w:p w14:paraId="7F3834FA">
      <w:pPr>
        <w:spacing w:line="360" w:lineRule="auto"/>
        <w:ind w:firstLine="482" w:firstLineChars="200"/>
        <w:rPr>
          <w:rFonts w:ascii="宋体" w:hAnsi="宋体" w:cs="宋体"/>
          <w:b/>
          <w:sz w:val="24"/>
        </w:rPr>
      </w:pPr>
      <w:r>
        <w:rPr>
          <w:rFonts w:hint="eastAsia" w:ascii="宋体" w:hAnsi="宋体" w:cs="宋体"/>
          <w:b/>
          <w:sz w:val="24"/>
          <w:lang w:val="en-US" w:eastAsia="zh-CN"/>
        </w:rPr>
        <w:t>二</w:t>
      </w:r>
      <w:r>
        <w:rPr>
          <w:rFonts w:hint="eastAsia" w:ascii="宋体" w:hAnsi="宋体" w:cs="宋体"/>
          <w:b/>
          <w:sz w:val="24"/>
        </w:rPr>
        <w:t>、拟续聘会计师事务所履行的程序</w:t>
      </w:r>
    </w:p>
    <w:p w14:paraId="19ABF18C">
      <w:pPr>
        <w:spacing w:line="360" w:lineRule="auto"/>
        <w:ind w:firstLine="482" w:firstLineChars="200"/>
        <w:rPr>
          <w:rFonts w:ascii="宋体" w:hAnsi="宋体" w:cs="宋体"/>
          <w:b/>
          <w:sz w:val="24"/>
        </w:rPr>
      </w:pPr>
      <w:r>
        <w:rPr>
          <w:rFonts w:hint="eastAsia" w:ascii="宋体" w:hAnsi="宋体" w:cs="宋体"/>
          <w:b/>
          <w:sz w:val="24"/>
        </w:rPr>
        <w:t>（一）董事会审计委员会审议意见</w:t>
      </w:r>
    </w:p>
    <w:p w14:paraId="300D6583">
      <w:pPr>
        <w:spacing w:line="360" w:lineRule="auto"/>
        <w:ind w:firstLine="480" w:firstLineChars="200"/>
        <w:rPr>
          <w:rFonts w:ascii="宋体" w:hAnsi="宋体" w:cs="宋体"/>
          <w:sz w:val="24"/>
        </w:rPr>
      </w:pPr>
      <w:r>
        <w:rPr>
          <w:rFonts w:hint="eastAsia" w:ascii="宋体" w:hAnsi="宋体" w:cs="宋体"/>
          <w:sz w:val="24"/>
        </w:rPr>
        <w:t>公司董事会审计委员会对立信的执业情况、独立性、专业胜任能力、投资者保护能力和诚信状况等方面进行了审查，认为立信具有良好的诚信，</w:t>
      </w:r>
      <w:r>
        <w:rPr>
          <w:rFonts w:asciiTheme="minorEastAsia" w:hAnsiTheme="minorEastAsia"/>
          <w:sz w:val="24"/>
        </w:rPr>
        <w:t>具备多年为上市公司提供审计服务的经验与能力，</w:t>
      </w:r>
      <w:r>
        <w:rPr>
          <w:rFonts w:hint="eastAsia" w:asciiTheme="minorEastAsia" w:hAnsiTheme="minorEastAsia"/>
          <w:sz w:val="24"/>
        </w:rPr>
        <w:t>以及足够的独立性、专业胜任能力和投资者保护能力，</w:t>
      </w:r>
      <w:r>
        <w:rPr>
          <w:rFonts w:hint="eastAsia" w:ascii="宋体" w:hAnsi="宋体" w:cs="宋体"/>
          <w:sz w:val="24"/>
        </w:rPr>
        <w:t>能够为公司提供真实公允的审计服务，满足公司财务和内部控制审计工作的要求。同意续聘立信为公司202</w:t>
      </w:r>
      <w:r>
        <w:rPr>
          <w:rFonts w:hint="eastAsia" w:ascii="宋体" w:hAnsi="宋体" w:cs="宋体"/>
          <w:sz w:val="24"/>
          <w:lang w:val="en-US" w:eastAsia="zh-CN"/>
        </w:rPr>
        <w:t>5</w:t>
      </w:r>
      <w:r>
        <w:rPr>
          <w:rFonts w:hint="eastAsia" w:ascii="宋体" w:hAnsi="宋体" w:cs="宋体"/>
          <w:sz w:val="24"/>
        </w:rPr>
        <w:t>年度审计机构，并同意将《关于拟续聘会计师事务所的议案》提交公司董事会审议。</w:t>
      </w:r>
    </w:p>
    <w:p w14:paraId="68BFB459">
      <w:pPr>
        <w:spacing w:line="360" w:lineRule="auto"/>
        <w:ind w:firstLine="482" w:firstLineChars="200"/>
        <w:rPr>
          <w:rFonts w:ascii="宋体" w:hAnsi="宋体" w:cs="宋体"/>
          <w:b/>
          <w:sz w:val="24"/>
        </w:rPr>
      </w:pPr>
      <w:r>
        <w:rPr>
          <w:rFonts w:hint="eastAsia" w:ascii="宋体" w:hAnsi="宋体" w:cs="宋体"/>
          <w:b/>
          <w:sz w:val="24"/>
        </w:rPr>
        <w:t>（二）董事会对议案审议和表决情况</w:t>
      </w:r>
    </w:p>
    <w:p w14:paraId="3AE39701">
      <w:pPr>
        <w:spacing w:line="360" w:lineRule="auto"/>
        <w:ind w:firstLine="480" w:firstLineChars="200"/>
        <w:rPr>
          <w:rFonts w:ascii="宋体" w:hAnsi="宋体" w:cs="宋体"/>
          <w:sz w:val="24"/>
        </w:rPr>
      </w:pPr>
      <w:r>
        <w:rPr>
          <w:rFonts w:hint="eastAsia" w:ascii="宋体" w:hAnsi="宋体" w:cs="宋体"/>
          <w:sz w:val="24"/>
        </w:rPr>
        <w:t>公司于202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日召开第五届董事会第</w:t>
      </w:r>
      <w:r>
        <w:rPr>
          <w:rFonts w:hint="eastAsia" w:ascii="宋体" w:hAnsi="宋体" w:cs="宋体"/>
          <w:sz w:val="24"/>
          <w:lang w:val="en-US" w:eastAsia="zh-CN"/>
        </w:rPr>
        <w:t>八</w:t>
      </w:r>
      <w:r>
        <w:rPr>
          <w:rFonts w:hint="eastAsia" w:ascii="宋体" w:hAnsi="宋体" w:cs="宋体"/>
          <w:sz w:val="24"/>
        </w:rPr>
        <w:t>次会议，审议通过了《关于拟续聘会计师事务所的议案》，同意续聘立信为公司202</w:t>
      </w:r>
      <w:r>
        <w:rPr>
          <w:rFonts w:hint="eastAsia" w:ascii="宋体" w:hAnsi="宋体" w:cs="宋体"/>
          <w:sz w:val="24"/>
          <w:lang w:val="en-US" w:eastAsia="zh-CN"/>
        </w:rPr>
        <w:t>5</w:t>
      </w:r>
      <w:r>
        <w:rPr>
          <w:rFonts w:hint="eastAsia" w:ascii="宋体" w:hAnsi="宋体" w:cs="宋体"/>
          <w:sz w:val="24"/>
        </w:rPr>
        <w:t>年度审计机构。</w:t>
      </w:r>
    </w:p>
    <w:p w14:paraId="6668158D">
      <w:pPr>
        <w:spacing w:line="360" w:lineRule="auto"/>
        <w:ind w:firstLine="482" w:firstLineChars="200"/>
        <w:rPr>
          <w:rFonts w:ascii="宋体" w:hAnsi="宋体" w:cs="宋体"/>
          <w:b/>
          <w:sz w:val="24"/>
        </w:rPr>
      </w:pPr>
      <w:r>
        <w:rPr>
          <w:rFonts w:hint="eastAsia" w:ascii="宋体" w:hAnsi="宋体" w:cs="宋体"/>
          <w:b/>
          <w:sz w:val="24"/>
        </w:rPr>
        <w:t>（三）生效日期</w:t>
      </w:r>
    </w:p>
    <w:p w14:paraId="5E77FE2E">
      <w:pPr>
        <w:spacing w:line="360" w:lineRule="auto"/>
        <w:ind w:firstLine="480" w:firstLineChars="200"/>
        <w:rPr>
          <w:rFonts w:ascii="宋体" w:hAnsi="宋体" w:cs="宋体"/>
          <w:sz w:val="24"/>
        </w:rPr>
      </w:pPr>
      <w:r>
        <w:rPr>
          <w:rFonts w:hint="eastAsia" w:ascii="宋体" w:hAnsi="宋体" w:cs="宋体"/>
          <w:sz w:val="24"/>
        </w:rPr>
        <w:t>本次续聘会计师事务所事项尚需提交公司股东大会审议，并自公司股东大会审议通过之日起生效。</w:t>
      </w:r>
    </w:p>
    <w:p w14:paraId="2476ED07">
      <w:pPr>
        <w:spacing w:line="360" w:lineRule="auto"/>
        <w:ind w:firstLine="482" w:firstLineChars="200"/>
        <w:rPr>
          <w:rFonts w:ascii="宋体" w:hAnsi="宋体" w:cs="宋体"/>
          <w:b/>
          <w:sz w:val="24"/>
        </w:rPr>
      </w:pPr>
    </w:p>
    <w:p w14:paraId="321A9DC0">
      <w:pPr>
        <w:spacing w:line="360" w:lineRule="auto"/>
        <w:ind w:firstLine="482" w:firstLineChars="200"/>
        <w:rPr>
          <w:rFonts w:ascii="宋体" w:hAnsi="宋体" w:cs="宋体"/>
          <w:b/>
          <w:sz w:val="24"/>
        </w:rPr>
      </w:pPr>
      <w:r>
        <w:rPr>
          <w:rFonts w:hint="eastAsia" w:ascii="宋体" w:hAnsi="宋体" w:cs="宋体"/>
          <w:b/>
          <w:sz w:val="24"/>
          <w:lang w:val="en-US" w:eastAsia="zh-CN"/>
        </w:rPr>
        <w:t>三</w:t>
      </w:r>
      <w:r>
        <w:rPr>
          <w:rFonts w:hint="eastAsia" w:ascii="宋体" w:hAnsi="宋体" w:cs="宋体"/>
          <w:b/>
          <w:sz w:val="24"/>
        </w:rPr>
        <w:t>、备查文件</w:t>
      </w:r>
    </w:p>
    <w:p w14:paraId="34526532">
      <w:pPr>
        <w:spacing w:line="360" w:lineRule="auto"/>
        <w:ind w:firstLine="480" w:firstLineChars="200"/>
        <w:rPr>
          <w:rFonts w:ascii="宋体" w:hAnsi="宋体" w:cs="宋体"/>
          <w:sz w:val="24"/>
        </w:rPr>
      </w:pPr>
      <w:r>
        <w:rPr>
          <w:rFonts w:hint="eastAsia" w:ascii="宋体" w:hAnsi="宋体" w:cs="宋体"/>
          <w:sz w:val="24"/>
        </w:rPr>
        <w:t>1、公司第五届董事会第</w:t>
      </w:r>
      <w:r>
        <w:rPr>
          <w:rFonts w:hint="eastAsia" w:ascii="宋体" w:hAnsi="宋体" w:cs="宋体"/>
          <w:sz w:val="24"/>
          <w:lang w:val="en-US" w:eastAsia="zh-CN"/>
        </w:rPr>
        <w:t>八</w:t>
      </w:r>
      <w:r>
        <w:rPr>
          <w:rFonts w:hint="eastAsia" w:ascii="宋体" w:hAnsi="宋体" w:cs="宋体"/>
          <w:sz w:val="24"/>
        </w:rPr>
        <w:t>次会议决议；</w:t>
      </w:r>
    </w:p>
    <w:p w14:paraId="44AF501B">
      <w:pPr>
        <w:spacing w:line="360" w:lineRule="auto"/>
        <w:ind w:firstLine="480" w:firstLineChars="200"/>
        <w:rPr>
          <w:rFonts w:ascii="宋体" w:hAnsi="宋体" w:cs="宋体"/>
          <w:sz w:val="24"/>
        </w:rPr>
      </w:pPr>
      <w:r>
        <w:rPr>
          <w:rFonts w:hint="eastAsia" w:ascii="宋体" w:hAnsi="宋体" w:cs="宋体"/>
          <w:sz w:val="24"/>
        </w:rPr>
        <w:t>2、公司第五届董事会审计委员会第</w:t>
      </w:r>
      <w:r>
        <w:rPr>
          <w:rFonts w:hint="eastAsia" w:ascii="宋体" w:hAnsi="宋体" w:cs="宋体"/>
          <w:sz w:val="24"/>
          <w:lang w:val="en-US" w:eastAsia="zh-CN"/>
        </w:rPr>
        <w:t>七</w:t>
      </w:r>
      <w:r>
        <w:rPr>
          <w:rFonts w:hint="eastAsia" w:ascii="宋体" w:hAnsi="宋体" w:cs="宋体"/>
          <w:sz w:val="24"/>
        </w:rPr>
        <w:t>次会议决议；</w:t>
      </w:r>
    </w:p>
    <w:p w14:paraId="009B0070">
      <w:pPr>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、拟聘任会计师事务所关于其基本情况的说明。</w:t>
      </w:r>
    </w:p>
    <w:p w14:paraId="5CBCE490">
      <w:pPr>
        <w:spacing w:line="360" w:lineRule="auto"/>
        <w:ind w:firstLine="480" w:firstLineChars="200"/>
        <w:rPr>
          <w:rFonts w:hint="eastAsia" w:ascii="宋体" w:hAnsi="宋体" w:cs="宋体"/>
          <w:sz w:val="24"/>
        </w:rPr>
      </w:pPr>
    </w:p>
    <w:p w14:paraId="260C55E7">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特此公告。</w:t>
      </w:r>
    </w:p>
    <w:p w14:paraId="066E4E98">
      <w:pPr>
        <w:spacing w:line="360" w:lineRule="auto"/>
        <w:jc w:val="left"/>
        <w:rPr>
          <w:rFonts w:ascii="宋体" w:hAnsi="宋体" w:cs="宋体"/>
          <w:b/>
          <w:bCs/>
          <w:sz w:val="24"/>
        </w:rPr>
      </w:pPr>
    </w:p>
    <w:p w14:paraId="1E688FA5">
      <w:pPr>
        <w:spacing w:line="360" w:lineRule="auto"/>
        <w:jc w:val="left"/>
        <w:rPr>
          <w:rFonts w:ascii="宋体" w:hAnsi="宋体" w:cs="宋体"/>
          <w:b/>
          <w:bCs/>
          <w:sz w:val="24"/>
        </w:rPr>
      </w:pPr>
    </w:p>
    <w:p w14:paraId="0BBCDA4A">
      <w:pPr>
        <w:spacing w:line="360" w:lineRule="auto"/>
        <w:jc w:val="right"/>
        <w:rPr>
          <w:rFonts w:ascii="宋体" w:hAnsi="宋体" w:cs="宋体"/>
          <w:b/>
          <w:bCs/>
          <w:sz w:val="24"/>
        </w:rPr>
      </w:pPr>
      <w:r>
        <w:rPr>
          <w:rFonts w:hint="eastAsia" w:ascii="宋体" w:hAnsi="宋体" w:cs="宋体"/>
          <w:b/>
          <w:bCs/>
          <w:sz w:val="24"/>
        </w:rPr>
        <w:t>东莞铭普光磁股份有限公司</w:t>
      </w:r>
    </w:p>
    <w:p w14:paraId="6FBF54E9">
      <w:pPr>
        <w:spacing w:line="360" w:lineRule="auto"/>
        <w:ind w:right="1080"/>
        <w:jc w:val="right"/>
        <w:rPr>
          <w:rFonts w:ascii="宋体" w:hAnsi="宋体" w:cs="宋体"/>
          <w:b/>
          <w:bCs/>
          <w:sz w:val="24"/>
        </w:rPr>
      </w:pPr>
      <w:r>
        <w:rPr>
          <w:rFonts w:hint="eastAsia" w:ascii="宋体" w:hAnsi="宋体" w:cs="宋体"/>
          <w:b/>
          <w:bCs/>
          <w:sz w:val="24"/>
        </w:rPr>
        <w:t>董事会</w:t>
      </w:r>
    </w:p>
    <w:p w14:paraId="7BE125CE">
      <w:pPr>
        <w:spacing w:line="360" w:lineRule="auto"/>
        <w:ind w:right="480"/>
        <w:jc w:val="right"/>
        <w:rPr>
          <w:rFonts w:ascii="宋体" w:hAnsi="宋体" w:cs="宋体"/>
          <w:b/>
          <w:bCs/>
          <w:sz w:val="24"/>
        </w:rPr>
      </w:pPr>
      <w:r>
        <w:rPr>
          <w:rFonts w:hint="eastAsia" w:ascii="宋体" w:hAnsi="宋体" w:cs="宋体"/>
          <w:b/>
          <w:bCs/>
          <w:sz w:val="24"/>
        </w:rPr>
        <w:t>202</w:t>
      </w:r>
      <w:r>
        <w:rPr>
          <w:rFonts w:hint="eastAsia" w:ascii="宋体" w:hAnsi="宋体" w:cs="宋体"/>
          <w:b/>
          <w:bCs/>
          <w:sz w:val="24"/>
          <w:lang w:val="en-US" w:eastAsia="zh-CN"/>
        </w:rPr>
        <w:t>5</w:t>
      </w:r>
      <w:r>
        <w:rPr>
          <w:rFonts w:hint="eastAsia" w:ascii="宋体" w:hAnsi="宋体" w:cs="宋体"/>
          <w:b/>
          <w:bCs/>
          <w:sz w:val="24"/>
        </w:rPr>
        <w:t>年</w:t>
      </w:r>
      <w:r>
        <w:rPr>
          <w:rFonts w:hint="eastAsia" w:ascii="宋体" w:hAnsi="宋体" w:cs="宋体"/>
          <w:b/>
          <w:bCs/>
          <w:sz w:val="24"/>
          <w:lang w:val="en-US" w:eastAsia="zh-CN"/>
        </w:rPr>
        <w:t>4</w:t>
      </w:r>
      <w:r>
        <w:rPr>
          <w:rFonts w:hint="eastAsia" w:ascii="宋体" w:hAnsi="宋体" w:cs="宋体"/>
          <w:b/>
          <w:bCs/>
          <w:sz w:val="24"/>
        </w:rPr>
        <w:t>月</w:t>
      </w:r>
      <w:r>
        <w:rPr>
          <w:rFonts w:hint="eastAsia" w:ascii="宋体" w:hAnsi="宋体" w:cs="宋体"/>
          <w:b/>
          <w:bCs/>
          <w:sz w:val="24"/>
          <w:lang w:val="en-US" w:eastAsia="zh-CN"/>
        </w:rPr>
        <w:t>22</w:t>
      </w:r>
      <w:r>
        <w:rPr>
          <w:rFonts w:hint="eastAsia" w:ascii="宋体" w:hAnsi="宋体" w:cs="宋体"/>
          <w:b/>
          <w:bCs/>
          <w:sz w:val="24"/>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2923201"/>
    </w:sdtPr>
    <w:sdtContent>
      <w:p w14:paraId="5C887562">
        <w:pPr>
          <w:pStyle w:val="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05760FA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60424"/>
    <w:multiLevelType w:val="singleLevel"/>
    <w:tmpl w:val="9FD604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YmE1MzQ4NzRlYjUyNWI2Yzc4ZTAxNzZhZWFmNTcifQ=="/>
  </w:docVars>
  <w:rsids>
    <w:rsidRoot w:val="009662B4"/>
    <w:rsid w:val="00001E84"/>
    <w:rsid w:val="00001EC1"/>
    <w:rsid w:val="00011B84"/>
    <w:rsid w:val="00012024"/>
    <w:rsid w:val="000132F8"/>
    <w:rsid w:val="000139AA"/>
    <w:rsid w:val="00013B27"/>
    <w:rsid w:val="00016564"/>
    <w:rsid w:val="00022CD7"/>
    <w:rsid w:val="0004240A"/>
    <w:rsid w:val="00046BD2"/>
    <w:rsid w:val="00056C2E"/>
    <w:rsid w:val="00060077"/>
    <w:rsid w:val="00061F63"/>
    <w:rsid w:val="000747A1"/>
    <w:rsid w:val="00075B15"/>
    <w:rsid w:val="00077B3F"/>
    <w:rsid w:val="00083F21"/>
    <w:rsid w:val="000844EA"/>
    <w:rsid w:val="0009755B"/>
    <w:rsid w:val="000A32FA"/>
    <w:rsid w:val="000A7D6B"/>
    <w:rsid w:val="000B2123"/>
    <w:rsid w:val="000B76AC"/>
    <w:rsid w:val="000C15C3"/>
    <w:rsid w:val="000D0D78"/>
    <w:rsid w:val="000D2120"/>
    <w:rsid w:val="000D5C1E"/>
    <w:rsid w:val="000E7BEE"/>
    <w:rsid w:val="000E7F2B"/>
    <w:rsid w:val="001039C1"/>
    <w:rsid w:val="001046D0"/>
    <w:rsid w:val="00106135"/>
    <w:rsid w:val="00121CEF"/>
    <w:rsid w:val="0012232C"/>
    <w:rsid w:val="00134BDE"/>
    <w:rsid w:val="00137231"/>
    <w:rsid w:val="00137677"/>
    <w:rsid w:val="001455D4"/>
    <w:rsid w:val="00150883"/>
    <w:rsid w:val="0015463A"/>
    <w:rsid w:val="00162F5A"/>
    <w:rsid w:val="001711E5"/>
    <w:rsid w:val="001755A5"/>
    <w:rsid w:val="001765EE"/>
    <w:rsid w:val="00176A10"/>
    <w:rsid w:val="001807F8"/>
    <w:rsid w:val="00182027"/>
    <w:rsid w:val="00190BFD"/>
    <w:rsid w:val="00196939"/>
    <w:rsid w:val="001B0B71"/>
    <w:rsid w:val="001B1689"/>
    <w:rsid w:val="001B357C"/>
    <w:rsid w:val="001B7A77"/>
    <w:rsid w:val="001C3AD9"/>
    <w:rsid w:val="001C5164"/>
    <w:rsid w:val="001D17A9"/>
    <w:rsid w:val="001D60A2"/>
    <w:rsid w:val="001D7459"/>
    <w:rsid w:val="001D7ADC"/>
    <w:rsid w:val="001E7379"/>
    <w:rsid w:val="001F20ED"/>
    <w:rsid w:val="001F363C"/>
    <w:rsid w:val="001F3BA8"/>
    <w:rsid w:val="001F7CB3"/>
    <w:rsid w:val="0021173F"/>
    <w:rsid w:val="002150C1"/>
    <w:rsid w:val="00227114"/>
    <w:rsid w:val="002338B4"/>
    <w:rsid w:val="002375E3"/>
    <w:rsid w:val="00237F10"/>
    <w:rsid w:val="00251A13"/>
    <w:rsid w:val="00263E88"/>
    <w:rsid w:val="0026539B"/>
    <w:rsid w:val="00267F2B"/>
    <w:rsid w:val="002717D3"/>
    <w:rsid w:val="0027186F"/>
    <w:rsid w:val="0027735A"/>
    <w:rsid w:val="00280754"/>
    <w:rsid w:val="00281090"/>
    <w:rsid w:val="00283C31"/>
    <w:rsid w:val="0028596E"/>
    <w:rsid w:val="002A0E76"/>
    <w:rsid w:val="002B021A"/>
    <w:rsid w:val="002B04BE"/>
    <w:rsid w:val="002B4FDA"/>
    <w:rsid w:val="002B75B5"/>
    <w:rsid w:val="002C1219"/>
    <w:rsid w:val="002D0AEC"/>
    <w:rsid w:val="002D4D9E"/>
    <w:rsid w:val="002F0632"/>
    <w:rsid w:val="002F285A"/>
    <w:rsid w:val="002F3E97"/>
    <w:rsid w:val="002F6D53"/>
    <w:rsid w:val="00300FBD"/>
    <w:rsid w:val="00304622"/>
    <w:rsid w:val="00312EEF"/>
    <w:rsid w:val="00313064"/>
    <w:rsid w:val="00316007"/>
    <w:rsid w:val="00320D62"/>
    <w:rsid w:val="00323F8A"/>
    <w:rsid w:val="00324934"/>
    <w:rsid w:val="00332C6A"/>
    <w:rsid w:val="0034541A"/>
    <w:rsid w:val="00350656"/>
    <w:rsid w:val="0035441D"/>
    <w:rsid w:val="00357916"/>
    <w:rsid w:val="00360006"/>
    <w:rsid w:val="00360B6F"/>
    <w:rsid w:val="00364975"/>
    <w:rsid w:val="003654F3"/>
    <w:rsid w:val="003770A2"/>
    <w:rsid w:val="003815B0"/>
    <w:rsid w:val="003854CD"/>
    <w:rsid w:val="00385A0C"/>
    <w:rsid w:val="00386468"/>
    <w:rsid w:val="00387B94"/>
    <w:rsid w:val="00395ED6"/>
    <w:rsid w:val="003A36E4"/>
    <w:rsid w:val="003C7907"/>
    <w:rsid w:val="003D2651"/>
    <w:rsid w:val="003D46CA"/>
    <w:rsid w:val="003E7608"/>
    <w:rsid w:val="003F7D26"/>
    <w:rsid w:val="004034BB"/>
    <w:rsid w:val="00420783"/>
    <w:rsid w:val="00420B82"/>
    <w:rsid w:val="00421441"/>
    <w:rsid w:val="004240A9"/>
    <w:rsid w:val="00427D09"/>
    <w:rsid w:val="00441402"/>
    <w:rsid w:val="00445052"/>
    <w:rsid w:val="0045346C"/>
    <w:rsid w:val="00457126"/>
    <w:rsid w:val="00462039"/>
    <w:rsid w:val="004624E9"/>
    <w:rsid w:val="00467630"/>
    <w:rsid w:val="00476219"/>
    <w:rsid w:val="004855B8"/>
    <w:rsid w:val="004A0111"/>
    <w:rsid w:val="004A1E55"/>
    <w:rsid w:val="004B3282"/>
    <w:rsid w:val="004B6672"/>
    <w:rsid w:val="004B7030"/>
    <w:rsid w:val="004C14E4"/>
    <w:rsid w:val="004D0F7E"/>
    <w:rsid w:val="004D1E01"/>
    <w:rsid w:val="00500579"/>
    <w:rsid w:val="00515F8E"/>
    <w:rsid w:val="005207A5"/>
    <w:rsid w:val="00522FA6"/>
    <w:rsid w:val="0052628A"/>
    <w:rsid w:val="005320DB"/>
    <w:rsid w:val="00540C35"/>
    <w:rsid w:val="00541DAD"/>
    <w:rsid w:val="00545B8F"/>
    <w:rsid w:val="0055011D"/>
    <w:rsid w:val="00552915"/>
    <w:rsid w:val="00552FC4"/>
    <w:rsid w:val="0055551E"/>
    <w:rsid w:val="00565D36"/>
    <w:rsid w:val="00571179"/>
    <w:rsid w:val="00577FC9"/>
    <w:rsid w:val="005917A1"/>
    <w:rsid w:val="00592522"/>
    <w:rsid w:val="005A4C6A"/>
    <w:rsid w:val="005B51D0"/>
    <w:rsid w:val="005C1BD8"/>
    <w:rsid w:val="005C549B"/>
    <w:rsid w:val="005D37D6"/>
    <w:rsid w:val="005E04E5"/>
    <w:rsid w:val="005E3B48"/>
    <w:rsid w:val="005E52D4"/>
    <w:rsid w:val="005E6A5E"/>
    <w:rsid w:val="005E78F2"/>
    <w:rsid w:val="005F1385"/>
    <w:rsid w:val="005F4D4D"/>
    <w:rsid w:val="006130A7"/>
    <w:rsid w:val="0061619A"/>
    <w:rsid w:val="00625B2D"/>
    <w:rsid w:val="0063158A"/>
    <w:rsid w:val="006334C9"/>
    <w:rsid w:val="00641F93"/>
    <w:rsid w:val="00646FD1"/>
    <w:rsid w:val="006515CA"/>
    <w:rsid w:val="00654814"/>
    <w:rsid w:val="00657D45"/>
    <w:rsid w:val="00665E92"/>
    <w:rsid w:val="00682466"/>
    <w:rsid w:val="0068569C"/>
    <w:rsid w:val="00686E3F"/>
    <w:rsid w:val="00686EA3"/>
    <w:rsid w:val="00696805"/>
    <w:rsid w:val="00697B78"/>
    <w:rsid w:val="006A10C8"/>
    <w:rsid w:val="006A3144"/>
    <w:rsid w:val="006A4AC3"/>
    <w:rsid w:val="006B3378"/>
    <w:rsid w:val="006B389A"/>
    <w:rsid w:val="006C0BA6"/>
    <w:rsid w:val="006C0BB1"/>
    <w:rsid w:val="006E23B6"/>
    <w:rsid w:val="006E6274"/>
    <w:rsid w:val="006E6BD7"/>
    <w:rsid w:val="006F2B89"/>
    <w:rsid w:val="006F4CDF"/>
    <w:rsid w:val="00703950"/>
    <w:rsid w:val="0071153D"/>
    <w:rsid w:val="0071418E"/>
    <w:rsid w:val="00715654"/>
    <w:rsid w:val="00716307"/>
    <w:rsid w:val="00720C17"/>
    <w:rsid w:val="00726895"/>
    <w:rsid w:val="00741421"/>
    <w:rsid w:val="00741C52"/>
    <w:rsid w:val="00746187"/>
    <w:rsid w:val="00757929"/>
    <w:rsid w:val="0076312E"/>
    <w:rsid w:val="00763519"/>
    <w:rsid w:val="00783549"/>
    <w:rsid w:val="00796705"/>
    <w:rsid w:val="007967DC"/>
    <w:rsid w:val="007974A5"/>
    <w:rsid w:val="007A53C5"/>
    <w:rsid w:val="007B02A0"/>
    <w:rsid w:val="007B0E82"/>
    <w:rsid w:val="007B0FCB"/>
    <w:rsid w:val="007B18E6"/>
    <w:rsid w:val="007C1137"/>
    <w:rsid w:val="007D0EBA"/>
    <w:rsid w:val="007D30B5"/>
    <w:rsid w:val="007F6494"/>
    <w:rsid w:val="008026F8"/>
    <w:rsid w:val="00811D96"/>
    <w:rsid w:val="00816273"/>
    <w:rsid w:val="008177A8"/>
    <w:rsid w:val="00842A11"/>
    <w:rsid w:val="0084448E"/>
    <w:rsid w:val="008555C2"/>
    <w:rsid w:val="0086295D"/>
    <w:rsid w:val="008736BB"/>
    <w:rsid w:val="00880156"/>
    <w:rsid w:val="00881F19"/>
    <w:rsid w:val="00891540"/>
    <w:rsid w:val="00891E30"/>
    <w:rsid w:val="00893719"/>
    <w:rsid w:val="008A0B39"/>
    <w:rsid w:val="008A2149"/>
    <w:rsid w:val="008A29AB"/>
    <w:rsid w:val="008A3E03"/>
    <w:rsid w:val="008A5963"/>
    <w:rsid w:val="008B1D7C"/>
    <w:rsid w:val="008C059D"/>
    <w:rsid w:val="008C4C6B"/>
    <w:rsid w:val="008D3390"/>
    <w:rsid w:val="008D5126"/>
    <w:rsid w:val="008E3720"/>
    <w:rsid w:val="008F29C6"/>
    <w:rsid w:val="008F34FD"/>
    <w:rsid w:val="009009E4"/>
    <w:rsid w:val="00904C5E"/>
    <w:rsid w:val="00910ADA"/>
    <w:rsid w:val="00915D50"/>
    <w:rsid w:val="00926D89"/>
    <w:rsid w:val="00931115"/>
    <w:rsid w:val="00935205"/>
    <w:rsid w:val="00942043"/>
    <w:rsid w:val="00950D9E"/>
    <w:rsid w:val="00951809"/>
    <w:rsid w:val="00951D33"/>
    <w:rsid w:val="00957FB1"/>
    <w:rsid w:val="0096344F"/>
    <w:rsid w:val="00963B64"/>
    <w:rsid w:val="00965333"/>
    <w:rsid w:val="009662B4"/>
    <w:rsid w:val="009662BC"/>
    <w:rsid w:val="0096792B"/>
    <w:rsid w:val="0097355F"/>
    <w:rsid w:val="00983A59"/>
    <w:rsid w:val="0098621D"/>
    <w:rsid w:val="009870F9"/>
    <w:rsid w:val="00992ADC"/>
    <w:rsid w:val="00994030"/>
    <w:rsid w:val="009977F4"/>
    <w:rsid w:val="009A69C4"/>
    <w:rsid w:val="009C688C"/>
    <w:rsid w:val="009C6DB6"/>
    <w:rsid w:val="009D0290"/>
    <w:rsid w:val="009D746E"/>
    <w:rsid w:val="009E19C5"/>
    <w:rsid w:val="009E21B9"/>
    <w:rsid w:val="009E704D"/>
    <w:rsid w:val="009F6FB3"/>
    <w:rsid w:val="009F7503"/>
    <w:rsid w:val="00A025FC"/>
    <w:rsid w:val="00A04CF2"/>
    <w:rsid w:val="00A15254"/>
    <w:rsid w:val="00A20DC4"/>
    <w:rsid w:val="00A21F8D"/>
    <w:rsid w:val="00A27FA7"/>
    <w:rsid w:val="00A31899"/>
    <w:rsid w:val="00A33A04"/>
    <w:rsid w:val="00A36D8C"/>
    <w:rsid w:val="00A36D96"/>
    <w:rsid w:val="00A460C1"/>
    <w:rsid w:val="00A477BC"/>
    <w:rsid w:val="00A547D4"/>
    <w:rsid w:val="00A62063"/>
    <w:rsid w:val="00A62B68"/>
    <w:rsid w:val="00A634DD"/>
    <w:rsid w:val="00A70EA3"/>
    <w:rsid w:val="00AB1A03"/>
    <w:rsid w:val="00AB56E9"/>
    <w:rsid w:val="00AD08AA"/>
    <w:rsid w:val="00AE0046"/>
    <w:rsid w:val="00AE4137"/>
    <w:rsid w:val="00B05E84"/>
    <w:rsid w:val="00B1456F"/>
    <w:rsid w:val="00B434B1"/>
    <w:rsid w:val="00B4424E"/>
    <w:rsid w:val="00B46ECF"/>
    <w:rsid w:val="00B46F9E"/>
    <w:rsid w:val="00B56458"/>
    <w:rsid w:val="00B56B7F"/>
    <w:rsid w:val="00B634ED"/>
    <w:rsid w:val="00B63688"/>
    <w:rsid w:val="00B662F8"/>
    <w:rsid w:val="00B8102B"/>
    <w:rsid w:val="00B8245E"/>
    <w:rsid w:val="00B82C46"/>
    <w:rsid w:val="00B8591B"/>
    <w:rsid w:val="00B8606A"/>
    <w:rsid w:val="00BA1110"/>
    <w:rsid w:val="00BA1767"/>
    <w:rsid w:val="00BA243E"/>
    <w:rsid w:val="00BB3291"/>
    <w:rsid w:val="00BC3B4B"/>
    <w:rsid w:val="00BC3D9A"/>
    <w:rsid w:val="00BD416C"/>
    <w:rsid w:val="00BD72AE"/>
    <w:rsid w:val="00BE3C89"/>
    <w:rsid w:val="00BE4413"/>
    <w:rsid w:val="00BE5AE6"/>
    <w:rsid w:val="00BE5FA5"/>
    <w:rsid w:val="00BE72BB"/>
    <w:rsid w:val="00BF1216"/>
    <w:rsid w:val="00BF1755"/>
    <w:rsid w:val="00BF1DE7"/>
    <w:rsid w:val="00BF4CAB"/>
    <w:rsid w:val="00C068F9"/>
    <w:rsid w:val="00C11FAE"/>
    <w:rsid w:val="00C141FB"/>
    <w:rsid w:val="00C14FC7"/>
    <w:rsid w:val="00C20E8D"/>
    <w:rsid w:val="00C3378A"/>
    <w:rsid w:val="00C359FC"/>
    <w:rsid w:val="00C46F3A"/>
    <w:rsid w:val="00C54344"/>
    <w:rsid w:val="00C54476"/>
    <w:rsid w:val="00C54A7D"/>
    <w:rsid w:val="00C6262B"/>
    <w:rsid w:val="00C642EA"/>
    <w:rsid w:val="00C67DAC"/>
    <w:rsid w:val="00C76949"/>
    <w:rsid w:val="00C906E4"/>
    <w:rsid w:val="00C93245"/>
    <w:rsid w:val="00C93551"/>
    <w:rsid w:val="00C938A0"/>
    <w:rsid w:val="00CA1487"/>
    <w:rsid w:val="00CA6E3D"/>
    <w:rsid w:val="00CB3A73"/>
    <w:rsid w:val="00CC355A"/>
    <w:rsid w:val="00CD2FB1"/>
    <w:rsid w:val="00CE1857"/>
    <w:rsid w:val="00CE4262"/>
    <w:rsid w:val="00CE5B05"/>
    <w:rsid w:val="00CF2EC2"/>
    <w:rsid w:val="00CF7D06"/>
    <w:rsid w:val="00CF7F6E"/>
    <w:rsid w:val="00D104AF"/>
    <w:rsid w:val="00D126F0"/>
    <w:rsid w:val="00D14102"/>
    <w:rsid w:val="00D14DC8"/>
    <w:rsid w:val="00D2742E"/>
    <w:rsid w:val="00D27D54"/>
    <w:rsid w:val="00D30459"/>
    <w:rsid w:val="00D31D2B"/>
    <w:rsid w:val="00D34006"/>
    <w:rsid w:val="00D3547A"/>
    <w:rsid w:val="00D37B68"/>
    <w:rsid w:val="00D449DC"/>
    <w:rsid w:val="00D4565F"/>
    <w:rsid w:val="00D45E82"/>
    <w:rsid w:val="00D7008F"/>
    <w:rsid w:val="00D71C90"/>
    <w:rsid w:val="00D75207"/>
    <w:rsid w:val="00D75C1C"/>
    <w:rsid w:val="00D91EF2"/>
    <w:rsid w:val="00D9564D"/>
    <w:rsid w:val="00DA20A0"/>
    <w:rsid w:val="00DA2628"/>
    <w:rsid w:val="00DB4E18"/>
    <w:rsid w:val="00DC60AF"/>
    <w:rsid w:val="00DC6923"/>
    <w:rsid w:val="00DE2BD8"/>
    <w:rsid w:val="00DE2DE9"/>
    <w:rsid w:val="00DE320B"/>
    <w:rsid w:val="00DE6DDF"/>
    <w:rsid w:val="00DF0441"/>
    <w:rsid w:val="00DF175D"/>
    <w:rsid w:val="00DF56CC"/>
    <w:rsid w:val="00DF706D"/>
    <w:rsid w:val="00E0340C"/>
    <w:rsid w:val="00E0526D"/>
    <w:rsid w:val="00E15173"/>
    <w:rsid w:val="00E22BBE"/>
    <w:rsid w:val="00E22DEF"/>
    <w:rsid w:val="00E23429"/>
    <w:rsid w:val="00E36A5A"/>
    <w:rsid w:val="00E42264"/>
    <w:rsid w:val="00E450E1"/>
    <w:rsid w:val="00E6197F"/>
    <w:rsid w:val="00E732DE"/>
    <w:rsid w:val="00E77316"/>
    <w:rsid w:val="00E96FDF"/>
    <w:rsid w:val="00EA13D8"/>
    <w:rsid w:val="00EA3127"/>
    <w:rsid w:val="00EA3C29"/>
    <w:rsid w:val="00EC5D69"/>
    <w:rsid w:val="00EC6F45"/>
    <w:rsid w:val="00ED270F"/>
    <w:rsid w:val="00EE6AA3"/>
    <w:rsid w:val="00F11EBC"/>
    <w:rsid w:val="00F16B47"/>
    <w:rsid w:val="00F22FB5"/>
    <w:rsid w:val="00F232EE"/>
    <w:rsid w:val="00F333CB"/>
    <w:rsid w:val="00F33673"/>
    <w:rsid w:val="00F421F7"/>
    <w:rsid w:val="00F46249"/>
    <w:rsid w:val="00F56C5D"/>
    <w:rsid w:val="00F612E4"/>
    <w:rsid w:val="00F643CB"/>
    <w:rsid w:val="00F66305"/>
    <w:rsid w:val="00F73E87"/>
    <w:rsid w:val="00F772D2"/>
    <w:rsid w:val="00F8059B"/>
    <w:rsid w:val="00F83CF1"/>
    <w:rsid w:val="00F856C1"/>
    <w:rsid w:val="00FA3530"/>
    <w:rsid w:val="00FA4989"/>
    <w:rsid w:val="00FB01FA"/>
    <w:rsid w:val="00FB7E10"/>
    <w:rsid w:val="00FC0502"/>
    <w:rsid w:val="00FC1B67"/>
    <w:rsid w:val="00FC329C"/>
    <w:rsid w:val="00FE1281"/>
    <w:rsid w:val="00FE2E91"/>
    <w:rsid w:val="00FE4F72"/>
    <w:rsid w:val="05EE41BD"/>
    <w:rsid w:val="06300679"/>
    <w:rsid w:val="15816CBE"/>
    <w:rsid w:val="15852D62"/>
    <w:rsid w:val="15EF297E"/>
    <w:rsid w:val="2426735F"/>
    <w:rsid w:val="244A4D1A"/>
    <w:rsid w:val="2B5318C8"/>
    <w:rsid w:val="37FA26B3"/>
    <w:rsid w:val="3D9A4ED9"/>
    <w:rsid w:val="42093847"/>
    <w:rsid w:val="4A264BFE"/>
    <w:rsid w:val="528458A8"/>
    <w:rsid w:val="53586F69"/>
    <w:rsid w:val="56696E02"/>
    <w:rsid w:val="58064A13"/>
    <w:rsid w:val="5FC8476A"/>
    <w:rsid w:val="62E82DDF"/>
    <w:rsid w:val="68304ECE"/>
    <w:rsid w:val="6BFC2F03"/>
    <w:rsid w:val="75A85E1C"/>
    <w:rsid w:val="7E68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21"/>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文件正文 Char"/>
    <w:link w:val="15"/>
    <w:qFormat/>
    <w:locked/>
    <w:uiPriority w:val="0"/>
    <w:rPr>
      <w:rFonts w:ascii="Times New Roman" w:hAnsi="Times New Roman" w:eastAsia="宋体" w:cs="Times New Roman"/>
      <w:color w:val="000000"/>
      <w:sz w:val="24"/>
      <w:szCs w:val="21"/>
    </w:rPr>
  </w:style>
  <w:style w:type="paragraph" w:customStyle="1" w:styleId="15">
    <w:name w:val="文件正文"/>
    <w:link w:val="14"/>
    <w:qFormat/>
    <w:uiPriority w:val="0"/>
    <w:pPr>
      <w:spacing w:beforeLines="50" w:line="360" w:lineRule="auto"/>
      <w:ind w:firstLine="200" w:firstLineChars="200"/>
      <w:jc w:val="both"/>
    </w:pPr>
    <w:rPr>
      <w:rFonts w:ascii="Times New Roman" w:hAnsi="Times New Roman" w:eastAsia="宋体" w:cs="Times New Roman"/>
      <w:color w:val="000000"/>
      <w:kern w:val="2"/>
      <w:sz w:val="24"/>
      <w:szCs w:val="21"/>
      <w:lang w:val="en-US" w:eastAsia="zh-CN" w:bidi="ar-SA"/>
    </w:rPr>
  </w:style>
  <w:style w:type="character" w:customStyle="1" w:styleId="16">
    <w:name w:val="style131"/>
    <w:qFormat/>
    <w:uiPriority w:val="0"/>
    <w:rPr>
      <w:rFonts w:cs="Times New Roman"/>
      <w:color w:val="333333"/>
      <w:sz w:val="21"/>
    </w:rPr>
  </w:style>
  <w:style w:type="paragraph" w:customStyle="1" w:styleId="17">
    <w:name w:val="富兰克-表格内容"/>
    <w:basedOn w:val="1"/>
    <w:link w:val="18"/>
    <w:qFormat/>
    <w:uiPriority w:val="0"/>
    <w:pPr>
      <w:overflowPunct w:val="0"/>
      <w:adjustRightInd w:val="0"/>
      <w:spacing w:before="40" w:after="60" w:line="200" w:lineRule="atLeast"/>
      <w:textAlignment w:val="baseline"/>
    </w:pPr>
    <w:rPr>
      <w:kern w:val="0"/>
      <w:sz w:val="24"/>
      <w:szCs w:val="20"/>
    </w:rPr>
  </w:style>
  <w:style w:type="character" w:customStyle="1" w:styleId="18">
    <w:name w:val="富兰克-表格内容 字符"/>
    <w:link w:val="17"/>
    <w:qFormat/>
    <w:uiPriority w:val="0"/>
    <w:rPr>
      <w:rFonts w:ascii="Times New Roman" w:hAnsi="Times New Roman" w:eastAsia="宋体" w:cs="Times New Roman"/>
      <w:sz w:val="24"/>
    </w:rPr>
  </w:style>
  <w:style w:type="character" w:customStyle="1" w:styleId="19">
    <w:name w:val="未处理的提及1"/>
    <w:basedOn w:val="8"/>
    <w:semiHidden/>
    <w:unhideWhenUsed/>
    <w:qFormat/>
    <w:uiPriority w:val="99"/>
    <w:rPr>
      <w:color w:val="605E5C"/>
      <w:shd w:val="clear" w:color="auto" w:fill="E1DFDD"/>
    </w:rPr>
  </w:style>
  <w:style w:type="character" w:customStyle="1" w:styleId="20">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6"/>
    <w:semiHidden/>
    <w:qFormat/>
    <w:uiPriority w:val="99"/>
    <w:rPr>
      <w:rFonts w:ascii="Times New Roman" w:hAnsi="Times New Roman" w:eastAsia="宋体" w:cs="Times New Roman"/>
      <w:b/>
      <w:bCs/>
      <w:kern w:val="2"/>
      <w:sz w:val="21"/>
      <w:szCs w:val="24"/>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24">
    <w:name w:val="立信年报表格"/>
    <w:basedOn w:val="7"/>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9D85-83F6-4FAB-A295-DCB0E92CA2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2635</Words>
  <Characters>2851</Characters>
  <Lines>19</Lines>
  <Paragraphs>5</Paragraphs>
  <TotalTime>4</TotalTime>
  <ScaleCrop>false</ScaleCrop>
  <LinksUpToDate>false</LinksUpToDate>
  <CharactersWithSpaces>2874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2019-04-19T02:22:00Z</dcterms:created>
  <dc:creator>舒丹</dc:creator>
  <cp:lastModifiedBy>WPS_477959835</cp:lastModifiedBy>
  <cp:lastPrinted>2020-01-17T16:00:00Z</cp:lastPrinted>
  <dcterms:modified xsi:type="dcterms:W3CDTF">2025-04-20T14:07:08Z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DAFF956CFE634EBCB32B5E51F0B807F9_12</vt:lpwstr>
  </property>
  <property fmtid="{D5CDD505-2E9C-101B-9397-08002B2CF9AE}" pid="4" name="KSOTemplateDocerSaveRecord">
    <vt:lpwstr>eyJoZGlkIjoiODlhYmE1MzQ4NzRlYjUyNWI2Yzc4ZTAxNzZhZWFmNTciLCJ1c2VySWQiOiI0Nzc5NTk4MzUifQ==</vt:lpwstr>
  </property>
</Properties>
</file>