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56765">
      <w:pPr>
        <w:spacing w:line="360" w:lineRule="auto"/>
        <w:rPr>
          <w:rFonts w:hint="default" w:eastAsiaTheme="minorEastAsia"/>
          <w:b/>
          <w:sz w:val="24"/>
          <w:szCs w:val="24"/>
          <w:lang w:val="en-US" w:eastAsia="zh-CN"/>
        </w:rPr>
      </w:pPr>
      <w:r>
        <w:rPr>
          <w:rFonts w:hint="eastAsia"/>
          <w:b/>
          <w:sz w:val="24"/>
          <w:szCs w:val="24"/>
        </w:rPr>
        <w:t>证券代码：</w:t>
      </w:r>
      <w:r>
        <w:rPr>
          <w:rFonts w:hint="eastAsia" w:asciiTheme="minorEastAsia" w:hAnsiTheme="minorEastAsia"/>
          <w:b/>
          <w:sz w:val="24"/>
          <w:szCs w:val="24"/>
        </w:rPr>
        <w:t>002902</w:t>
      </w:r>
      <w:r>
        <w:rPr>
          <w:b/>
          <w:sz w:val="24"/>
          <w:szCs w:val="24"/>
        </w:rPr>
        <w:t xml:space="preserve">          </w:t>
      </w:r>
      <w:r>
        <w:rPr>
          <w:rFonts w:hint="eastAsia"/>
          <w:b/>
          <w:sz w:val="24"/>
          <w:szCs w:val="24"/>
        </w:rPr>
        <w:t>证券简称：铭普光磁</w:t>
      </w:r>
      <w:r>
        <w:rPr>
          <w:b/>
          <w:sz w:val="24"/>
          <w:szCs w:val="24"/>
        </w:rPr>
        <w:t xml:space="preserve">         </w:t>
      </w:r>
      <w:r>
        <w:rPr>
          <w:rFonts w:hint="eastAsia"/>
          <w:b/>
          <w:sz w:val="24"/>
          <w:szCs w:val="24"/>
        </w:rPr>
        <w:t>公告编号：</w:t>
      </w:r>
      <w:r>
        <w:rPr>
          <w:rFonts w:hint="eastAsia" w:asciiTheme="minorEastAsia" w:hAnsiTheme="minorEastAsia"/>
          <w:b/>
          <w:sz w:val="24"/>
          <w:szCs w:val="24"/>
        </w:rPr>
        <w:t>2025-</w:t>
      </w:r>
      <w:r>
        <w:rPr>
          <w:rFonts w:hint="eastAsia" w:asciiTheme="minorEastAsia" w:hAnsiTheme="minorEastAsia"/>
          <w:b/>
          <w:sz w:val="24"/>
          <w:szCs w:val="24"/>
          <w:lang w:val="en-US" w:eastAsia="zh-CN"/>
        </w:rPr>
        <w:t>036</w:t>
      </w:r>
    </w:p>
    <w:p w14:paraId="7CDF348A">
      <w:pPr>
        <w:spacing w:line="360" w:lineRule="auto"/>
        <w:rPr>
          <w:sz w:val="24"/>
          <w:szCs w:val="24"/>
        </w:rPr>
      </w:pPr>
    </w:p>
    <w:p w14:paraId="4EAA713E">
      <w:pPr>
        <w:spacing w:line="360" w:lineRule="auto"/>
        <w:jc w:val="center"/>
        <w:rPr>
          <w:rFonts w:ascii="宋体" w:hAnsi="宋体" w:eastAsia="宋体" w:cs="宋体"/>
          <w:b/>
          <w:sz w:val="32"/>
          <w:szCs w:val="32"/>
        </w:rPr>
      </w:pPr>
      <w:r>
        <w:rPr>
          <w:rFonts w:hint="eastAsia" w:ascii="宋体" w:hAnsi="宋体" w:eastAsia="宋体" w:cs="宋体"/>
          <w:b/>
          <w:sz w:val="32"/>
          <w:szCs w:val="32"/>
        </w:rPr>
        <w:t>东莞铭普光磁股份有限公司</w:t>
      </w:r>
    </w:p>
    <w:p w14:paraId="408398BE">
      <w:pPr>
        <w:spacing w:line="360" w:lineRule="auto"/>
        <w:jc w:val="center"/>
        <w:rPr>
          <w:b/>
          <w:sz w:val="32"/>
          <w:szCs w:val="32"/>
        </w:rPr>
      </w:pPr>
      <w:r>
        <w:rPr>
          <w:rFonts w:hint="eastAsia" w:ascii="宋体" w:hAnsi="宋体" w:eastAsia="宋体" w:cs="宋体"/>
          <w:b/>
          <w:sz w:val="32"/>
          <w:szCs w:val="32"/>
        </w:rPr>
        <w:t>关于2025年</w:t>
      </w:r>
      <w:r>
        <w:rPr>
          <w:rFonts w:hint="eastAsia" w:ascii="宋体" w:hAnsi="宋体" w:eastAsia="宋体" w:cs="宋体"/>
          <w:b/>
          <w:sz w:val="32"/>
          <w:szCs w:val="32"/>
          <w:lang w:val="en-US" w:eastAsia="zh-CN"/>
        </w:rPr>
        <w:t>度</w:t>
      </w:r>
      <w:r>
        <w:rPr>
          <w:rFonts w:hint="eastAsia" w:ascii="宋体" w:hAnsi="宋体" w:eastAsia="宋体" w:cs="宋体"/>
          <w:b/>
          <w:sz w:val="32"/>
          <w:szCs w:val="32"/>
        </w:rPr>
        <w:t>日常关联交易预</w:t>
      </w:r>
      <w:r>
        <w:rPr>
          <w:rFonts w:hint="eastAsia"/>
          <w:b/>
          <w:sz w:val="32"/>
          <w:szCs w:val="32"/>
        </w:rPr>
        <w:t>计的公告</w:t>
      </w:r>
    </w:p>
    <w:p w14:paraId="300021B4">
      <w:pPr>
        <w:spacing w:line="360" w:lineRule="auto"/>
        <w:jc w:val="center"/>
        <w:rPr>
          <w:b/>
          <w:sz w:val="32"/>
          <w:szCs w:val="32"/>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14:paraId="13509B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F5166EA">
            <w:pPr>
              <w:spacing w:line="360" w:lineRule="auto"/>
              <w:ind w:firstLine="482" w:firstLineChars="200"/>
              <w:rPr>
                <w:b/>
                <w:sz w:val="24"/>
                <w:szCs w:val="24"/>
              </w:rPr>
            </w:pPr>
            <w:r>
              <w:rPr>
                <w:rFonts w:hint="eastAsia" w:ascii="宋体" w:hAnsi="宋体" w:eastAsia="宋体" w:cs="宋体"/>
                <w:b/>
                <w:sz w:val="24"/>
                <w:szCs w:val="24"/>
              </w:rPr>
              <w:t>本公司及董事会全体成员保证信息披露的内容真实、准确、完整，没有虚假记载、误导性陈述或重大遗漏</w:t>
            </w:r>
            <w:r>
              <w:rPr>
                <w:rFonts w:hint="eastAsia" w:eastAsia="Times New Roman"/>
                <w:b/>
                <w:sz w:val="24"/>
                <w:szCs w:val="24"/>
              </w:rPr>
              <w:t>。</w:t>
            </w:r>
          </w:p>
        </w:tc>
      </w:tr>
    </w:tbl>
    <w:p w14:paraId="174F681B">
      <w:pPr>
        <w:spacing w:line="360" w:lineRule="auto"/>
        <w:ind w:firstLine="480" w:firstLineChars="200"/>
        <w:rPr>
          <w:rFonts w:asciiTheme="minorEastAsia" w:hAnsiTheme="minorEastAsia"/>
          <w:sz w:val="24"/>
          <w:szCs w:val="24"/>
        </w:rPr>
      </w:pPr>
    </w:p>
    <w:p w14:paraId="2172A082">
      <w:pPr>
        <w:spacing w:line="360" w:lineRule="auto"/>
        <w:ind w:firstLine="482" w:firstLineChars="200"/>
        <w:rPr>
          <w:b/>
          <w:sz w:val="24"/>
          <w:szCs w:val="24"/>
        </w:rPr>
      </w:pPr>
      <w:r>
        <w:rPr>
          <w:rFonts w:hint="eastAsia" w:asciiTheme="minorEastAsia" w:hAnsiTheme="minorEastAsia"/>
          <w:b/>
          <w:sz w:val="24"/>
          <w:szCs w:val="24"/>
        </w:rPr>
        <w:t>一、日常</w:t>
      </w:r>
      <w:r>
        <w:rPr>
          <w:rFonts w:hint="eastAsia"/>
          <w:b/>
          <w:sz w:val="24"/>
          <w:szCs w:val="24"/>
        </w:rPr>
        <w:t>关联交易基本情况</w:t>
      </w:r>
    </w:p>
    <w:p w14:paraId="372B4FCE">
      <w:pPr>
        <w:pStyle w:val="14"/>
        <w:spacing w:line="360" w:lineRule="auto"/>
        <w:ind w:left="0" w:firstLine="482" w:firstLineChars="200"/>
        <w:rPr>
          <w:rFonts w:hint="eastAsia"/>
          <w:b/>
          <w:sz w:val="24"/>
          <w:szCs w:val="24"/>
        </w:rPr>
      </w:pPr>
      <w:r>
        <w:rPr>
          <w:rFonts w:hint="eastAsia"/>
          <w:b/>
          <w:sz w:val="24"/>
          <w:szCs w:val="24"/>
        </w:rPr>
        <w:t>（一）日常关联交易概述</w:t>
      </w:r>
    </w:p>
    <w:p w14:paraId="76D9E67A">
      <w:pPr>
        <w:spacing w:line="360" w:lineRule="auto"/>
        <w:ind w:left="0" w:firstLine="480" w:firstLineChars="200"/>
        <w:rPr>
          <w:rFonts w:hint="eastAsia"/>
          <w:b/>
          <w:sz w:val="24"/>
          <w:szCs w:val="24"/>
        </w:rPr>
      </w:pPr>
      <w:r>
        <w:rPr>
          <w:rFonts w:hint="eastAsia" w:asciiTheme="minorEastAsia" w:hAnsiTheme="minorEastAsia"/>
          <w:sz w:val="24"/>
          <w:szCs w:val="24"/>
        </w:rPr>
        <w:t>东莞铭普光磁股份有限公司（以下简称“公司”）于2025年1月7日召开第五届董事会第六次会议和第五届监事会第六次会议，审议通过了《关于2025年1-5月日常关联交易预计的议案》，预计2025年1-5月与公司参股公司深圳鲲鹏无限科技有限公司（以下简称“鲲鹏无限”）发生日常关联交易总金额不超过3,250万元。详细情况见202</w:t>
      </w:r>
      <w:r>
        <w:rPr>
          <w:rFonts w:hint="eastAsia" w:asciiTheme="minorEastAsia" w:hAnsiTheme="minorEastAsia"/>
          <w:sz w:val="24"/>
          <w:szCs w:val="24"/>
          <w:lang w:val="en-US" w:eastAsia="zh-CN"/>
        </w:rPr>
        <w:t>5</w:t>
      </w:r>
      <w:r>
        <w:rPr>
          <w:rFonts w:hint="eastAsia" w:asciiTheme="minorEastAsia" w:hAnsiTheme="minorEastAsia"/>
          <w:sz w:val="24"/>
          <w:szCs w:val="24"/>
        </w:rPr>
        <w:t>年</w:t>
      </w:r>
      <w:r>
        <w:rPr>
          <w:rFonts w:hint="eastAsia" w:asciiTheme="minorEastAsia" w:hAnsiTheme="minorEastAsia"/>
          <w:sz w:val="24"/>
          <w:szCs w:val="24"/>
          <w:lang w:val="en-US" w:eastAsia="zh-CN"/>
        </w:rPr>
        <w:t>1</w:t>
      </w:r>
      <w:r>
        <w:rPr>
          <w:rFonts w:hint="eastAsia" w:asciiTheme="minorEastAsia" w:hAnsiTheme="minorEastAsia"/>
          <w:sz w:val="24"/>
          <w:szCs w:val="24"/>
        </w:rPr>
        <w:t>月</w:t>
      </w:r>
      <w:r>
        <w:rPr>
          <w:rFonts w:hint="eastAsia" w:asciiTheme="minorEastAsia" w:hAnsiTheme="minorEastAsia"/>
          <w:sz w:val="24"/>
          <w:szCs w:val="24"/>
          <w:lang w:val="en-US" w:eastAsia="zh-CN"/>
        </w:rPr>
        <w:t>8</w:t>
      </w:r>
      <w:r>
        <w:rPr>
          <w:rFonts w:hint="eastAsia" w:asciiTheme="minorEastAsia" w:hAnsiTheme="minorEastAsia"/>
          <w:sz w:val="24"/>
          <w:szCs w:val="24"/>
        </w:rPr>
        <w:t>日刊登在公司指定信息披露媒体《证券时报》及巨潮资讯网（http://www.cninfo.com.cn）的《关于2025年1-5月日常关联交易预计的公告》。</w:t>
      </w:r>
    </w:p>
    <w:p w14:paraId="477A5BDF">
      <w:pPr>
        <w:spacing w:line="360" w:lineRule="auto"/>
        <w:ind w:firstLine="480" w:firstLineChars="200"/>
        <w:rPr>
          <w:rFonts w:asciiTheme="minorEastAsia" w:hAnsiTheme="minorEastAsia"/>
          <w:sz w:val="24"/>
          <w:szCs w:val="24"/>
        </w:rPr>
      </w:pPr>
      <w:r>
        <w:rPr>
          <w:rFonts w:hint="eastAsia" w:asciiTheme="minorEastAsia" w:hAnsiTheme="minorEastAsia"/>
          <w:sz w:val="24"/>
          <w:szCs w:val="24"/>
          <w:lang w:val="en-US" w:eastAsia="zh-CN"/>
        </w:rPr>
        <w:t>公司</w:t>
      </w:r>
      <w:r>
        <w:rPr>
          <w:rFonts w:hint="eastAsia" w:asciiTheme="minorEastAsia" w:hAnsiTheme="minorEastAsia"/>
          <w:sz w:val="24"/>
          <w:szCs w:val="24"/>
        </w:rPr>
        <w:t>及所属子公司根据日常经营的需要，预计2025</w:t>
      </w:r>
      <w:r>
        <w:rPr>
          <w:rFonts w:hint="eastAsia" w:asciiTheme="minorEastAsia" w:hAnsiTheme="minorEastAsia"/>
          <w:sz w:val="24"/>
          <w:szCs w:val="24"/>
          <w:lang w:val="en-US" w:eastAsia="zh-CN"/>
        </w:rPr>
        <w:t>年度</w:t>
      </w:r>
      <w:r>
        <w:rPr>
          <w:rFonts w:hint="eastAsia" w:asciiTheme="minorEastAsia" w:hAnsiTheme="minorEastAsia"/>
          <w:sz w:val="24"/>
          <w:szCs w:val="24"/>
        </w:rPr>
        <w:t>与公司参股公司鲲鹏无限发生日常关联交易总金额不超过</w:t>
      </w:r>
      <w:r>
        <w:rPr>
          <w:rFonts w:hint="eastAsia" w:asciiTheme="minorEastAsia" w:hAnsiTheme="minorEastAsia"/>
          <w:sz w:val="24"/>
          <w:szCs w:val="24"/>
          <w:lang w:val="en-US" w:eastAsia="zh-CN"/>
        </w:rPr>
        <w:t>7,000</w:t>
      </w:r>
      <w:r>
        <w:rPr>
          <w:rFonts w:hint="eastAsia" w:asciiTheme="minorEastAsia" w:hAnsiTheme="minorEastAsia"/>
          <w:sz w:val="24"/>
          <w:szCs w:val="24"/>
        </w:rPr>
        <w:t>万元</w:t>
      </w:r>
      <w:r>
        <w:rPr>
          <w:rFonts w:hint="eastAsia" w:asciiTheme="minorEastAsia" w:hAnsiTheme="minorEastAsia"/>
          <w:sz w:val="24"/>
          <w:szCs w:val="24"/>
          <w:lang w:eastAsia="zh-CN"/>
        </w:rPr>
        <w:t>，日常关联交易预计期限为公司2024年度股东大会审议通过之日起至2025年度股东大会召开之日止。</w:t>
      </w:r>
      <w:r>
        <w:rPr>
          <w:rFonts w:hint="eastAsia" w:asciiTheme="minorEastAsia" w:hAnsiTheme="minorEastAsia"/>
          <w:sz w:val="24"/>
          <w:szCs w:val="24"/>
        </w:rPr>
        <w:t>公司于2025年</w:t>
      </w:r>
      <w:r>
        <w:rPr>
          <w:rFonts w:hint="eastAsia" w:asciiTheme="minorEastAsia" w:hAnsiTheme="minorEastAsia"/>
          <w:sz w:val="24"/>
          <w:szCs w:val="24"/>
          <w:lang w:val="en-US" w:eastAsia="zh-CN"/>
        </w:rPr>
        <w:t>4</w:t>
      </w:r>
      <w:r>
        <w:rPr>
          <w:rFonts w:hint="eastAsia" w:asciiTheme="minorEastAsia" w:hAnsiTheme="minorEastAsia"/>
          <w:sz w:val="24"/>
          <w:szCs w:val="24"/>
        </w:rPr>
        <w:t>月</w:t>
      </w:r>
      <w:r>
        <w:rPr>
          <w:rFonts w:hint="eastAsia" w:asciiTheme="minorEastAsia" w:hAnsiTheme="minorEastAsia"/>
          <w:sz w:val="24"/>
          <w:szCs w:val="24"/>
          <w:lang w:val="en-US" w:eastAsia="zh-CN"/>
        </w:rPr>
        <w:t>18</w:t>
      </w:r>
      <w:r>
        <w:rPr>
          <w:rFonts w:hint="eastAsia" w:asciiTheme="minorEastAsia" w:hAnsiTheme="minorEastAsia"/>
          <w:sz w:val="24"/>
          <w:szCs w:val="24"/>
        </w:rPr>
        <w:t>日召开第五届董事会第</w:t>
      </w:r>
      <w:r>
        <w:rPr>
          <w:rFonts w:hint="eastAsia" w:asciiTheme="minorEastAsia" w:hAnsiTheme="minorEastAsia"/>
          <w:sz w:val="24"/>
          <w:szCs w:val="24"/>
          <w:lang w:val="en-US" w:eastAsia="zh-CN"/>
        </w:rPr>
        <w:t>八</w:t>
      </w:r>
      <w:r>
        <w:rPr>
          <w:rFonts w:hint="eastAsia" w:asciiTheme="minorEastAsia" w:hAnsiTheme="minorEastAsia"/>
          <w:sz w:val="24"/>
          <w:szCs w:val="24"/>
        </w:rPr>
        <w:t>次会议和第五届监事会第</w:t>
      </w:r>
      <w:r>
        <w:rPr>
          <w:rFonts w:hint="eastAsia" w:asciiTheme="minorEastAsia" w:hAnsiTheme="minorEastAsia"/>
          <w:sz w:val="24"/>
          <w:szCs w:val="24"/>
          <w:lang w:val="en-US" w:eastAsia="zh-CN"/>
        </w:rPr>
        <w:t>八</w:t>
      </w:r>
      <w:r>
        <w:rPr>
          <w:rFonts w:hint="eastAsia" w:asciiTheme="minorEastAsia" w:hAnsiTheme="minorEastAsia"/>
          <w:sz w:val="24"/>
          <w:szCs w:val="24"/>
        </w:rPr>
        <w:t>次会议，审议通过了《关于2025年</w:t>
      </w:r>
      <w:r>
        <w:rPr>
          <w:rFonts w:hint="eastAsia" w:asciiTheme="minorEastAsia" w:hAnsiTheme="minorEastAsia"/>
          <w:sz w:val="24"/>
          <w:szCs w:val="24"/>
          <w:lang w:val="en-US" w:eastAsia="zh-CN"/>
        </w:rPr>
        <w:t>度</w:t>
      </w:r>
      <w:r>
        <w:rPr>
          <w:rFonts w:hint="eastAsia" w:asciiTheme="minorEastAsia" w:hAnsiTheme="minorEastAsia"/>
          <w:sz w:val="24"/>
          <w:szCs w:val="24"/>
        </w:rPr>
        <w:t>日常关联交易预计的议案》，关联董事杨</w:t>
      </w:r>
      <w:r>
        <w:rPr>
          <w:rFonts w:asciiTheme="minorEastAsia" w:hAnsiTheme="minorEastAsia"/>
          <w:sz w:val="24"/>
          <w:szCs w:val="24"/>
        </w:rPr>
        <w:t>先进</w:t>
      </w:r>
      <w:r>
        <w:rPr>
          <w:rFonts w:hint="eastAsia" w:asciiTheme="minorEastAsia" w:hAnsiTheme="minorEastAsia"/>
          <w:sz w:val="24"/>
          <w:szCs w:val="24"/>
        </w:rPr>
        <w:t>先生在表决时进行了回避，亦没有代理其他董事行使表决权，其余董事以全票通过的表决结果通过了此项议案。本次日常关联交易预计事项已经公司独立董事专门会议审议并经全体独立董事过半数同意。</w:t>
      </w:r>
    </w:p>
    <w:p w14:paraId="2941D0DF">
      <w:pPr>
        <w:spacing w:line="360" w:lineRule="auto"/>
        <w:ind w:firstLine="480" w:firstLineChars="200"/>
        <w:rPr>
          <w:sz w:val="24"/>
          <w:szCs w:val="24"/>
        </w:rPr>
      </w:pPr>
      <w:r>
        <w:rPr>
          <w:rFonts w:hint="eastAsia"/>
          <w:sz w:val="24"/>
          <w:szCs w:val="24"/>
        </w:rPr>
        <w:t>根据</w:t>
      </w:r>
      <w:r>
        <w:rPr>
          <w:rFonts w:hint="eastAsia"/>
          <w:sz w:val="24"/>
        </w:rPr>
        <w:t>《深圳证券交易所股票上市规则》《公司章程》等</w:t>
      </w:r>
      <w:r>
        <w:rPr>
          <w:rFonts w:hint="eastAsia"/>
          <w:sz w:val="24"/>
          <w:szCs w:val="24"/>
        </w:rPr>
        <w:t>相关规定，此议案</w:t>
      </w:r>
      <w:r>
        <w:rPr>
          <w:rFonts w:hint="eastAsia"/>
          <w:sz w:val="24"/>
          <w:szCs w:val="24"/>
          <w:lang w:val="en-US" w:eastAsia="zh-CN"/>
        </w:rPr>
        <w:t>尚</w:t>
      </w:r>
      <w:r>
        <w:rPr>
          <w:rFonts w:hint="eastAsia"/>
          <w:sz w:val="24"/>
          <w:szCs w:val="24"/>
        </w:rPr>
        <w:t>需提交公司股东大会审议，关联</w:t>
      </w:r>
      <w:r>
        <w:rPr>
          <w:sz w:val="24"/>
          <w:szCs w:val="24"/>
        </w:rPr>
        <w:t>股东杨先进先生需回避表决</w:t>
      </w:r>
      <w:r>
        <w:rPr>
          <w:rFonts w:hint="eastAsia"/>
          <w:sz w:val="24"/>
          <w:szCs w:val="24"/>
        </w:rPr>
        <w:t>。</w:t>
      </w:r>
    </w:p>
    <w:p w14:paraId="591B6E28">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（二）预计日常关联交易类别和金额</w:t>
      </w:r>
    </w:p>
    <w:p w14:paraId="5842F819">
      <w:pPr>
        <w:pStyle w:val="14"/>
        <w:ind w:left="420" w:leftChars="200" w:firstLine="6825" w:firstLineChars="3250"/>
      </w:pPr>
      <w:r>
        <w:rPr>
          <w:rFonts w:hint="eastAsia"/>
        </w:rPr>
        <w:t>单位：万元</w:t>
      </w:r>
    </w:p>
    <w:tbl>
      <w:tblPr>
        <w:tblStyle w:val="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893"/>
        <w:gridCol w:w="1100"/>
        <w:gridCol w:w="1150"/>
        <w:gridCol w:w="1366"/>
        <w:gridCol w:w="1484"/>
        <w:gridCol w:w="1150"/>
      </w:tblGrid>
      <w:tr w14:paraId="3329D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trPr>
        <w:tc>
          <w:tcPr>
            <w:tcW w:w="805"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9A05702">
            <w:pPr>
              <w:widowControl/>
              <w:rPr>
                <w:rFonts w:ascii="宋体" w:hAnsi="宋体" w:eastAsia="宋体" w:cs="宋体"/>
                <w:b/>
                <w:kern w:val="0"/>
                <w:szCs w:val="21"/>
                <w:highlight w:val="none"/>
              </w:rPr>
            </w:pPr>
            <w:r>
              <w:rPr>
                <w:rFonts w:hint="eastAsia" w:ascii="宋体" w:hAnsi="宋体" w:eastAsia="宋体" w:cs="宋体"/>
                <w:b/>
                <w:kern w:val="0"/>
                <w:szCs w:val="21"/>
                <w:highlight w:val="none"/>
              </w:rPr>
              <w:t>关联交易类别</w:t>
            </w:r>
          </w:p>
        </w:tc>
        <w:tc>
          <w:tcPr>
            <w:tcW w:w="524"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9CA4541">
            <w:pPr>
              <w:widowControl/>
              <w:rPr>
                <w:rFonts w:ascii="宋体" w:hAnsi="宋体" w:eastAsia="宋体" w:cs="宋体"/>
                <w:b/>
                <w:kern w:val="0"/>
                <w:szCs w:val="21"/>
                <w:highlight w:val="none"/>
              </w:rPr>
            </w:pPr>
            <w:r>
              <w:rPr>
                <w:rFonts w:hint="eastAsia" w:ascii="宋体" w:hAnsi="宋体" w:eastAsia="宋体" w:cs="宋体"/>
                <w:b/>
                <w:kern w:val="0"/>
                <w:szCs w:val="21"/>
                <w:highlight w:val="none"/>
              </w:rPr>
              <w:t>关联人</w:t>
            </w:r>
          </w:p>
        </w:tc>
        <w:tc>
          <w:tcPr>
            <w:tcW w:w="645" w:type="pct"/>
            <w:tcBorders>
              <w:top w:val="single" w:color="auto" w:sz="4" w:space="0"/>
              <w:left w:val="single" w:color="auto" w:sz="4" w:space="0"/>
              <w:right w:val="single" w:color="auto" w:sz="4" w:space="0"/>
            </w:tcBorders>
            <w:shd w:val="clear" w:color="auto" w:fill="D8D8D8" w:themeFill="background1" w:themeFillShade="D9"/>
          </w:tcPr>
          <w:p w14:paraId="49D1D321">
            <w:pPr>
              <w:widowControl/>
              <w:rPr>
                <w:rFonts w:ascii="宋体" w:hAnsi="宋体" w:eastAsia="宋体" w:cs="宋体"/>
                <w:b/>
                <w:kern w:val="0"/>
                <w:szCs w:val="21"/>
                <w:highlight w:val="none"/>
              </w:rPr>
            </w:pPr>
          </w:p>
          <w:p w14:paraId="6F179C37">
            <w:pPr>
              <w:widowControl/>
              <w:rPr>
                <w:rFonts w:ascii="宋体" w:hAnsi="宋体" w:eastAsia="宋体" w:cs="宋体"/>
                <w:b/>
                <w:kern w:val="0"/>
                <w:szCs w:val="21"/>
                <w:highlight w:val="none"/>
              </w:rPr>
            </w:pPr>
            <w:r>
              <w:rPr>
                <w:rFonts w:hint="eastAsia" w:ascii="宋体" w:hAnsi="宋体" w:eastAsia="宋体" w:cs="宋体"/>
                <w:b/>
                <w:kern w:val="0"/>
                <w:szCs w:val="21"/>
                <w:highlight w:val="none"/>
              </w:rPr>
              <w:t>关联交易内容</w:t>
            </w:r>
          </w:p>
          <w:p w14:paraId="65D198DE">
            <w:pPr>
              <w:widowControl/>
              <w:rPr>
                <w:rFonts w:ascii="宋体" w:hAnsi="宋体" w:eastAsia="宋体" w:cs="宋体"/>
                <w:b/>
                <w:kern w:val="0"/>
                <w:szCs w:val="21"/>
                <w:highlight w:val="none"/>
              </w:rPr>
            </w:pPr>
          </w:p>
        </w:tc>
        <w:tc>
          <w:tcPr>
            <w:tcW w:w="675" w:type="pct"/>
            <w:tcBorders>
              <w:top w:val="single" w:color="auto" w:sz="4" w:space="0"/>
              <w:left w:val="single" w:color="auto" w:sz="4" w:space="0"/>
              <w:right w:val="single" w:color="auto" w:sz="4" w:space="0"/>
            </w:tcBorders>
            <w:shd w:val="clear" w:color="auto" w:fill="D8D8D8" w:themeFill="background1" w:themeFillShade="D9"/>
          </w:tcPr>
          <w:p w14:paraId="37AF2578">
            <w:pPr>
              <w:widowControl/>
              <w:rPr>
                <w:rFonts w:ascii="宋体" w:hAnsi="宋体" w:eastAsia="宋体" w:cs="宋体"/>
                <w:b/>
                <w:kern w:val="0"/>
                <w:szCs w:val="21"/>
                <w:highlight w:val="none"/>
              </w:rPr>
            </w:pPr>
          </w:p>
          <w:p w14:paraId="320D6E82">
            <w:pPr>
              <w:widowControl/>
              <w:rPr>
                <w:rFonts w:ascii="宋体" w:hAnsi="宋体" w:eastAsia="宋体" w:cs="宋体"/>
                <w:b/>
                <w:kern w:val="0"/>
                <w:szCs w:val="21"/>
                <w:highlight w:val="none"/>
              </w:rPr>
            </w:pPr>
            <w:r>
              <w:rPr>
                <w:rFonts w:hint="eastAsia" w:ascii="宋体" w:hAnsi="宋体" w:eastAsia="宋体" w:cs="宋体"/>
                <w:b/>
                <w:kern w:val="0"/>
                <w:szCs w:val="21"/>
                <w:highlight w:val="none"/>
              </w:rPr>
              <w:t>关联交易定价原则</w:t>
            </w:r>
          </w:p>
        </w:tc>
        <w:tc>
          <w:tcPr>
            <w:tcW w:w="802"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72506AA">
            <w:pPr>
              <w:widowControl/>
              <w:rPr>
                <w:rFonts w:ascii="宋体" w:hAnsi="宋体" w:eastAsia="宋体" w:cs="宋体"/>
                <w:b/>
                <w:kern w:val="0"/>
                <w:szCs w:val="21"/>
                <w:highlight w:val="none"/>
              </w:rPr>
            </w:pPr>
            <w:r>
              <w:rPr>
                <w:rFonts w:hint="eastAsia" w:ascii="宋体" w:hAnsi="宋体" w:eastAsia="宋体" w:cs="宋体"/>
                <w:b/>
                <w:kern w:val="0"/>
                <w:szCs w:val="21"/>
                <w:highlight w:val="none"/>
              </w:rPr>
              <w:t>合同签订金额或预计金额</w:t>
            </w:r>
          </w:p>
        </w:tc>
        <w:tc>
          <w:tcPr>
            <w:tcW w:w="871"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B60F03C">
            <w:pPr>
              <w:widowControl/>
              <w:rPr>
                <w:rFonts w:hint="eastAsia" w:ascii="宋体" w:hAnsi="宋体" w:eastAsia="宋体" w:cs="宋体"/>
                <w:b/>
                <w:kern w:val="0"/>
                <w:szCs w:val="21"/>
                <w:highlight w:val="none"/>
                <w:lang w:val="en-US" w:eastAsia="zh-CN"/>
              </w:rPr>
            </w:pPr>
            <w:r>
              <w:rPr>
                <w:rFonts w:hint="default" w:ascii="宋体" w:hAnsi="宋体" w:eastAsia="宋体" w:cs="宋体"/>
                <w:b/>
                <w:kern w:val="0"/>
                <w:szCs w:val="21"/>
                <w:highlight w:val="none"/>
              </w:rPr>
              <w:t>截至</w:t>
            </w:r>
            <w:r>
              <w:rPr>
                <w:rFonts w:hint="eastAsia" w:ascii="宋体" w:hAnsi="宋体" w:eastAsia="宋体" w:cs="宋体"/>
                <w:b/>
                <w:kern w:val="0"/>
                <w:szCs w:val="21"/>
                <w:highlight w:val="none"/>
                <w:lang w:eastAsia="zh-CN"/>
              </w:rPr>
              <w:t>2</w:t>
            </w:r>
            <w:r>
              <w:rPr>
                <w:rFonts w:hint="eastAsia" w:ascii="宋体" w:hAnsi="宋体" w:eastAsia="宋体" w:cs="宋体"/>
                <w:b/>
                <w:kern w:val="0"/>
                <w:szCs w:val="21"/>
                <w:highlight w:val="none"/>
                <w:lang w:val="en-US" w:eastAsia="zh-CN"/>
              </w:rPr>
              <w:t>025年3月31日</w:t>
            </w:r>
            <w:r>
              <w:rPr>
                <w:rFonts w:hint="default" w:ascii="宋体" w:hAnsi="宋体" w:eastAsia="宋体" w:cs="宋体"/>
                <w:b/>
                <w:kern w:val="0"/>
                <w:szCs w:val="21"/>
                <w:highlight w:val="none"/>
              </w:rPr>
              <w:t>已发生金额</w:t>
            </w:r>
            <w:r>
              <w:rPr>
                <w:rFonts w:hint="eastAsia" w:ascii="宋体" w:hAnsi="宋体" w:eastAsia="宋体" w:cs="宋体"/>
                <w:b/>
                <w:kern w:val="0"/>
                <w:szCs w:val="21"/>
                <w:highlight w:val="none"/>
                <w:lang w:eastAsia="zh-CN"/>
              </w:rPr>
              <w:t>（</w:t>
            </w:r>
            <w:r>
              <w:rPr>
                <w:rFonts w:hint="eastAsia" w:ascii="宋体" w:hAnsi="宋体" w:eastAsia="宋体" w:cs="宋体"/>
                <w:b/>
                <w:kern w:val="0"/>
                <w:szCs w:val="21"/>
                <w:highlight w:val="none"/>
                <w:lang w:val="en-US" w:eastAsia="zh-CN"/>
              </w:rPr>
              <w:t>未经审计</w:t>
            </w:r>
            <w:r>
              <w:rPr>
                <w:rFonts w:hint="eastAsia" w:ascii="宋体" w:hAnsi="宋体" w:eastAsia="宋体" w:cs="宋体"/>
                <w:b/>
                <w:kern w:val="0"/>
                <w:szCs w:val="21"/>
                <w:highlight w:val="none"/>
                <w:lang w:eastAsia="zh-CN"/>
              </w:rPr>
              <w:t>）</w:t>
            </w:r>
          </w:p>
        </w:tc>
        <w:tc>
          <w:tcPr>
            <w:tcW w:w="675"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EA25E7A">
            <w:pPr>
              <w:widowControl/>
              <w:rPr>
                <w:rFonts w:ascii="宋体" w:hAnsi="宋体" w:eastAsia="宋体" w:cs="宋体"/>
                <w:b/>
                <w:kern w:val="0"/>
                <w:szCs w:val="21"/>
                <w:highlight w:val="none"/>
              </w:rPr>
            </w:pPr>
            <w:r>
              <w:rPr>
                <w:rFonts w:hint="eastAsia" w:ascii="宋体" w:hAnsi="宋体" w:eastAsia="宋体" w:cs="宋体"/>
                <w:b/>
                <w:kern w:val="0"/>
                <w:szCs w:val="21"/>
                <w:highlight w:val="none"/>
                <w:lang w:val="en-US" w:eastAsia="zh-CN"/>
              </w:rPr>
              <w:t>上年</w:t>
            </w:r>
            <w:r>
              <w:rPr>
                <w:rFonts w:hint="eastAsia" w:ascii="宋体" w:hAnsi="宋体" w:eastAsia="宋体" w:cs="宋体"/>
                <w:b/>
                <w:kern w:val="0"/>
                <w:szCs w:val="21"/>
                <w:highlight w:val="none"/>
              </w:rPr>
              <w:t>实际发生金额</w:t>
            </w:r>
          </w:p>
        </w:tc>
      </w:tr>
      <w:tr w14:paraId="4996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805" w:type="pct"/>
            <w:tcBorders>
              <w:top w:val="single" w:color="auto" w:sz="4" w:space="0"/>
              <w:left w:val="single" w:color="auto" w:sz="4" w:space="0"/>
              <w:bottom w:val="single" w:color="auto" w:sz="4" w:space="0"/>
              <w:right w:val="single" w:color="auto" w:sz="4" w:space="0"/>
            </w:tcBorders>
            <w:vAlign w:val="center"/>
          </w:tcPr>
          <w:p w14:paraId="2DB397D1">
            <w:pPr>
              <w:rPr>
                <w:rFonts w:ascii="宋体" w:hAnsi="宋体" w:cs="宋体"/>
                <w:szCs w:val="21"/>
                <w:highlight w:val="none"/>
              </w:rPr>
            </w:pPr>
            <w:r>
              <w:rPr>
                <w:rFonts w:hint="eastAsia" w:ascii="宋体" w:hAnsi="宋体" w:cs="宋体"/>
                <w:szCs w:val="21"/>
                <w:highlight w:val="none"/>
              </w:rPr>
              <w:t>向关联人采购原材料</w:t>
            </w:r>
          </w:p>
        </w:tc>
        <w:tc>
          <w:tcPr>
            <w:tcW w:w="524" w:type="pct"/>
            <w:tcBorders>
              <w:top w:val="single" w:color="auto" w:sz="4" w:space="0"/>
              <w:left w:val="single" w:color="auto" w:sz="4" w:space="0"/>
              <w:bottom w:val="single" w:color="auto" w:sz="4" w:space="0"/>
              <w:right w:val="single" w:color="auto" w:sz="4" w:space="0"/>
            </w:tcBorders>
            <w:vAlign w:val="center"/>
          </w:tcPr>
          <w:p w14:paraId="3A0AA5B8">
            <w:pPr>
              <w:widowControl/>
              <w:jc w:val="left"/>
              <w:textAlignment w:val="center"/>
              <w:rPr>
                <w:rFonts w:ascii="宋体" w:hAnsi="宋体" w:cs="宋体"/>
                <w:szCs w:val="21"/>
                <w:highlight w:val="none"/>
              </w:rPr>
            </w:pPr>
            <w:r>
              <w:rPr>
                <w:rFonts w:hint="eastAsia" w:ascii="宋体" w:hAnsi="宋体" w:eastAsia="宋体" w:cs="宋体"/>
                <w:color w:val="000000"/>
                <w:kern w:val="0"/>
                <w:szCs w:val="21"/>
                <w:highlight w:val="none"/>
                <w:lang w:bidi="ar"/>
              </w:rPr>
              <w:t>鲲鹏无限</w:t>
            </w:r>
          </w:p>
        </w:tc>
        <w:tc>
          <w:tcPr>
            <w:tcW w:w="645" w:type="pct"/>
            <w:tcBorders>
              <w:top w:val="single" w:color="auto" w:sz="4" w:space="0"/>
              <w:left w:val="single" w:color="auto" w:sz="4" w:space="0"/>
              <w:bottom w:val="single" w:color="auto" w:sz="4" w:space="0"/>
              <w:right w:val="single" w:color="auto" w:sz="4" w:space="0"/>
            </w:tcBorders>
            <w:vAlign w:val="center"/>
          </w:tcPr>
          <w:p w14:paraId="27EF3D02">
            <w:pPr>
              <w:widowControl/>
              <w:rPr>
                <w:rFonts w:ascii="宋体" w:hAnsi="宋体" w:cs="宋体"/>
                <w:szCs w:val="21"/>
                <w:highlight w:val="none"/>
              </w:rPr>
            </w:pPr>
            <w:r>
              <w:rPr>
                <w:rFonts w:hint="eastAsia" w:ascii="宋体" w:hAnsi="宋体" w:eastAsia="宋体" w:cs="宋体"/>
                <w:color w:val="000000"/>
                <w:kern w:val="0"/>
                <w:szCs w:val="21"/>
                <w:highlight w:val="none"/>
                <w:lang w:bidi="ar"/>
              </w:rPr>
              <w:t>采购芯片等原材料</w:t>
            </w:r>
          </w:p>
        </w:tc>
        <w:tc>
          <w:tcPr>
            <w:tcW w:w="675" w:type="pct"/>
            <w:tcBorders>
              <w:top w:val="single" w:color="auto" w:sz="4" w:space="0"/>
              <w:left w:val="single" w:color="auto" w:sz="4" w:space="0"/>
              <w:bottom w:val="single" w:color="auto" w:sz="4" w:space="0"/>
              <w:right w:val="single" w:color="auto" w:sz="4" w:space="0"/>
            </w:tcBorders>
            <w:vAlign w:val="center"/>
          </w:tcPr>
          <w:p w14:paraId="5ACDC85F">
            <w:pPr>
              <w:widowControl/>
              <w:jc w:val="left"/>
              <w:textAlignment w:val="center"/>
              <w:rPr>
                <w:rFonts w:ascii="宋体" w:hAnsi="宋体" w:cs="宋体"/>
                <w:szCs w:val="21"/>
                <w:highlight w:val="none"/>
              </w:rPr>
            </w:pPr>
            <w:r>
              <w:rPr>
                <w:rFonts w:hint="eastAsia" w:ascii="宋体" w:hAnsi="宋体" w:eastAsia="宋体" w:cs="宋体"/>
                <w:color w:val="000000"/>
                <w:kern w:val="0"/>
                <w:szCs w:val="21"/>
                <w:highlight w:val="none"/>
                <w:lang w:bidi="ar"/>
              </w:rPr>
              <w:t>市场价格</w:t>
            </w:r>
          </w:p>
        </w:tc>
        <w:tc>
          <w:tcPr>
            <w:tcW w:w="1366" w:type="dxa"/>
            <w:tcBorders>
              <w:top w:val="single" w:color="auto" w:sz="4" w:space="0"/>
              <w:left w:val="single" w:color="auto" w:sz="4" w:space="0"/>
              <w:bottom w:val="single" w:color="auto" w:sz="4" w:space="0"/>
              <w:right w:val="single" w:color="auto" w:sz="4" w:space="0"/>
            </w:tcBorders>
            <w:vAlign w:val="center"/>
          </w:tcPr>
          <w:p w14:paraId="72869EDD">
            <w:pPr>
              <w:snapToGrid w:val="0"/>
              <w:jc w:val="right"/>
              <w:rPr>
                <w:rFonts w:ascii="宋体" w:hAnsi="宋体" w:cs="宋体"/>
                <w:szCs w:val="21"/>
                <w:highlight w:val="none"/>
              </w:rPr>
            </w:pPr>
            <w:r>
              <w:rPr>
                <w:rFonts w:hint="eastAsia" w:ascii="宋体" w:hAnsi="宋体"/>
                <w:sz w:val="21"/>
                <w:szCs w:val="21"/>
                <w:highlight w:val="none"/>
              </w:rPr>
              <w:t>3</w:t>
            </w:r>
            <w:r>
              <w:rPr>
                <w:rFonts w:ascii="宋体" w:hAnsi="宋体"/>
                <w:sz w:val="21"/>
                <w:szCs w:val="21"/>
                <w:highlight w:val="none"/>
              </w:rPr>
              <w:t>,</w:t>
            </w:r>
            <w:r>
              <w:rPr>
                <w:rFonts w:hint="eastAsia" w:ascii="宋体" w:hAnsi="宋体"/>
                <w:sz w:val="21"/>
                <w:szCs w:val="21"/>
                <w:highlight w:val="none"/>
              </w:rPr>
              <w:t>00</w:t>
            </w:r>
            <w:r>
              <w:rPr>
                <w:rFonts w:ascii="宋体" w:hAnsi="宋体"/>
                <w:sz w:val="21"/>
                <w:szCs w:val="21"/>
                <w:highlight w:val="none"/>
              </w:rPr>
              <w:t>0</w:t>
            </w:r>
          </w:p>
        </w:tc>
        <w:tc>
          <w:tcPr>
            <w:tcW w:w="1484" w:type="dxa"/>
            <w:tcBorders>
              <w:top w:val="single" w:color="auto" w:sz="4" w:space="0"/>
              <w:left w:val="single" w:color="auto" w:sz="4" w:space="0"/>
              <w:bottom w:val="single" w:color="auto" w:sz="4" w:space="0"/>
              <w:right w:val="single" w:color="auto" w:sz="4" w:space="0"/>
            </w:tcBorders>
            <w:vAlign w:val="center"/>
          </w:tcPr>
          <w:p w14:paraId="26BF6630">
            <w:pPr>
              <w:snapToGrid w:val="0"/>
              <w:jc w:val="right"/>
              <w:rPr>
                <w:rFonts w:hint="eastAsia" w:ascii="宋体" w:hAnsi="宋体" w:eastAsia="宋体" w:cs="宋体"/>
                <w:color w:val="000000"/>
                <w:kern w:val="0"/>
                <w:sz w:val="20"/>
                <w:szCs w:val="20"/>
                <w:highlight w:val="none"/>
                <w:lang w:bidi="ar"/>
              </w:rPr>
            </w:pPr>
            <w:r>
              <w:rPr>
                <w:rFonts w:ascii="宋体" w:hAnsi="宋体"/>
                <w:sz w:val="21"/>
                <w:szCs w:val="21"/>
                <w:highlight w:val="none"/>
              </w:rPr>
              <w:t>269.16</w:t>
            </w:r>
          </w:p>
        </w:tc>
        <w:tc>
          <w:tcPr>
            <w:tcW w:w="1150" w:type="dxa"/>
            <w:tcBorders>
              <w:top w:val="single" w:color="auto" w:sz="4" w:space="0"/>
              <w:left w:val="single" w:color="auto" w:sz="4" w:space="0"/>
              <w:bottom w:val="single" w:color="auto" w:sz="4" w:space="0"/>
              <w:right w:val="single" w:color="auto" w:sz="4" w:space="0"/>
            </w:tcBorders>
            <w:vAlign w:val="center"/>
          </w:tcPr>
          <w:p w14:paraId="310A9979">
            <w:pPr>
              <w:snapToGrid w:val="0"/>
              <w:jc w:val="right"/>
              <w:rPr>
                <w:rFonts w:ascii="宋体" w:hAnsi="宋体" w:cs="宋体"/>
                <w:szCs w:val="21"/>
                <w:highlight w:val="none"/>
              </w:rPr>
            </w:pPr>
            <w:r>
              <w:rPr>
                <w:rFonts w:ascii="宋体" w:hAnsi="宋体"/>
                <w:sz w:val="21"/>
                <w:szCs w:val="21"/>
                <w:highlight w:val="none"/>
              </w:rPr>
              <w:t>2</w:t>
            </w:r>
            <w:r>
              <w:rPr>
                <w:rFonts w:hint="eastAsia" w:ascii="宋体" w:hAnsi="宋体"/>
                <w:sz w:val="21"/>
                <w:szCs w:val="21"/>
                <w:highlight w:val="none"/>
              </w:rPr>
              <w:t>,</w:t>
            </w:r>
            <w:r>
              <w:rPr>
                <w:rFonts w:ascii="宋体" w:hAnsi="宋体"/>
                <w:sz w:val="21"/>
                <w:szCs w:val="21"/>
                <w:highlight w:val="none"/>
              </w:rPr>
              <w:t>637.29</w:t>
            </w:r>
          </w:p>
        </w:tc>
      </w:tr>
      <w:tr w14:paraId="1B1E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805" w:type="pct"/>
            <w:tcBorders>
              <w:top w:val="single" w:color="auto" w:sz="4" w:space="0"/>
              <w:left w:val="single" w:color="auto" w:sz="4" w:space="0"/>
              <w:bottom w:val="single" w:color="auto" w:sz="4" w:space="0"/>
              <w:right w:val="single" w:color="auto" w:sz="4" w:space="0"/>
            </w:tcBorders>
            <w:vAlign w:val="center"/>
          </w:tcPr>
          <w:p w14:paraId="7A161FE8">
            <w:pPr>
              <w:rPr>
                <w:rFonts w:ascii="宋体" w:hAnsi="宋体" w:cs="宋体"/>
                <w:szCs w:val="21"/>
                <w:highlight w:val="none"/>
              </w:rPr>
            </w:pPr>
            <w:r>
              <w:rPr>
                <w:rFonts w:hint="eastAsia" w:ascii="宋体" w:hAnsi="宋体" w:cs="宋体"/>
                <w:szCs w:val="21"/>
                <w:highlight w:val="none"/>
              </w:rPr>
              <w:t>向关联人销售产品、商品</w:t>
            </w:r>
          </w:p>
        </w:tc>
        <w:tc>
          <w:tcPr>
            <w:tcW w:w="524" w:type="pct"/>
            <w:tcBorders>
              <w:top w:val="single" w:color="auto" w:sz="4" w:space="0"/>
              <w:left w:val="single" w:color="auto" w:sz="4" w:space="0"/>
              <w:bottom w:val="single" w:color="auto" w:sz="4" w:space="0"/>
              <w:right w:val="single" w:color="auto" w:sz="4" w:space="0"/>
            </w:tcBorders>
            <w:vAlign w:val="center"/>
          </w:tcPr>
          <w:p w14:paraId="2D2F1680">
            <w:pPr>
              <w:widowControl/>
              <w:jc w:val="left"/>
              <w:textAlignment w:val="center"/>
              <w:rPr>
                <w:rFonts w:ascii="宋体" w:hAnsi="宋体" w:cs="宋体"/>
                <w:szCs w:val="21"/>
                <w:highlight w:val="none"/>
              </w:rPr>
            </w:pPr>
            <w:r>
              <w:rPr>
                <w:rFonts w:hint="eastAsia" w:ascii="宋体" w:hAnsi="宋体" w:eastAsia="宋体" w:cs="宋体"/>
                <w:color w:val="000000"/>
                <w:kern w:val="0"/>
                <w:szCs w:val="21"/>
                <w:highlight w:val="none"/>
                <w:lang w:bidi="ar"/>
              </w:rPr>
              <w:t>鲲鹏无限</w:t>
            </w:r>
          </w:p>
        </w:tc>
        <w:tc>
          <w:tcPr>
            <w:tcW w:w="645" w:type="pct"/>
            <w:tcBorders>
              <w:top w:val="single" w:color="auto" w:sz="4" w:space="0"/>
              <w:left w:val="single" w:color="auto" w:sz="4" w:space="0"/>
              <w:bottom w:val="single" w:color="auto" w:sz="4" w:space="0"/>
              <w:right w:val="single" w:color="auto" w:sz="4" w:space="0"/>
            </w:tcBorders>
            <w:vAlign w:val="center"/>
          </w:tcPr>
          <w:p w14:paraId="2ECA14EF">
            <w:pPr>
              <w:widowControl/>
              <w:rPr>
                <w:rFonts w:ascii="宋体" w:hAnsi="宋体" w:cs="宋体"/>
                <w:szCs w:val="21"/>
                <w:highlight w:val="none"/>
              </w:rPr>
            </w:pPr>
            <w:r>
              <w:rPr>
                <w:rFonts w:hint="eastAsia" w:ascii="宋体" w:hAnsi="宋体" w:cs="宋体"/>
                <w:kern w:val="0"/>
                <w:szCs w:val="21"/>
                <w:highlight w:val="none"/>
              </w:rPr>
              <w:t>销售路由器等产品</w:t>
            </w:r>
          </w:p>
        </w:tc>
        <w:tc>
          <w:tcPr>
            <w:tcW w:w="675" w:type="pct"/>
            <w:tcBorders>
              <w:top w:val="single" w:color="auto" w:sz="4" w:space="0"/>
              <w:left w:val="single" w:color="auto" w:sz="4" w:space="0"/>
              <w:bottom w:val="single" w:color="auto" w:sz="4" w:space="0"/>
              <w:right w:val="single" w:color="auto" w:sz="4" w:space="0"/>
            </w:tcBorders>
            <w:vAlign w:val="center"/>
          </w:tcPr>
          <w:p w14:paraId="4AB4B1CA">
            <w:pPr>
              <w:widowControl/>
              <w:jc w:val="left"/>
              <w:textAlignment w:val="center"/>
              <w:rPr>
                <w:rFonts w:ascii="宋体" w:hAnsi="宋体" w:cs="宋体"/>
                <w:szCs w:val="21"/>
                <w:highlight w:val="none"/>
              </w:rPr>
            </w:pPr>
            <w:r>
              <w:rPr>
                <w:rFonts w:hint="eastAsia" w:ascii="宋体" w:hAnsi="宋体" w:eastAsia="宋体" w:cs="宋体"/>
                <w:color w:val="000000"/>
                <w:kern w:val="0"/>
                <w:szCs w:val="21"/>
                <w:highlight w:val="none"/>
                <w:lang w:bidi="ar"/>
              </w:rPr>
              <w:t>市场价格</w:t>
            </w:r>
          </w:p>
        </w:tc>
        <w:tc>
          <w:tcPr>
            <w:tcW w:w="1366" w:type="dxa"/>
            <w:tcBorders>
              <w:top w:val="single" w:color="auto" w:sz="4" w:space="0"/>
              <w:left w:val="single" w:color="auto" w:sz="4" w:space="0"/>
              <w:bottom w:val="single" w:color="auto" w:sz="4" w:space="0"/>
              <w:right w:val="single" w:color="auto" w:sz="4" w:space="0"/>
            </w:tcBorders>
            <w:vAlign w:val="center"/>
          </w:tcPr>
          <w:p w14:paraId="1D475BF8">
            <w:pPr>
              <w:snapToGrid w:val="0"/>
              <w:jc w:val="right"/>
              <w:rPr>
                <w:rFonts w:ascii="宋体" w:hAnsi="宋体" w:cs="宋体"/>
                <w:szCs w:val="21"/>
                <w:highlight w:val="none"/>
              </w:rPr>
            </w:pPr>
            <w:r>
              <w:rPr>
                <w:rFonts w:hint="eastAsia" w:ascii="宋体" w:hAnsi="宋体"/>
                <w:sz w:val="21"/>
                <w:szCs w:val="21"/>
                <w:highlight w:val="none"/>
              </w:rPr>
              <w:t>4</w:t>
            </w:r>
            <w:r>
              <w:rPr>
                <w:rFonts w:ascii="宋体" w:hAnsi="宋体"/>
                <w:sz w:val="21"/>
                <w:szCs w:val="21"/>
                <w:highlight w:val="none"/>
              </w:rPr>
              <w:t>,000</w:t>
            </w:r>
          </w:p>
        </w:tc>
        <w:tc>
          <w:tcPr>
            <w:tcW w:w="1484" w:type="dxa"/>
            <w:tcBorders>
              <w:top w:val="single" w:color="auto" w:sz="4" w:space="0"/>
              <w:left w:val="single" w:color="auto" w:sz="4" w:space="0"/>
              <w:bottom w:val="single" w:color="auto" w:sz="4" w:space="0"/>
              <w:right w:val="single" w:color="auto" w:sz="4" w:space="0"/>
            </w:tcBorders>
            <w:vAlign w:val="center"/>
          </w:tcPr>
          <w:p w14:paraId="34B9B052">
            <w:pPr>
              <w:snapToGrid w:val="0"/>
              <w:jc w:val="right"/>
              <w:rPr>
                <w:rFonts w:hint="eastAsia" w:ascii="宋体" w:hAnsi="宋体" w:eastAsia="宋体" w:cs="宋体"/>
                <w:color w:val="000000"/>
                <w:kern w:val="0"/>
                <w:sz w:val="20"/>
                <w:szCs w:val="20"/>
                <w:highlight w:val="none"/>
                <w:lang w:bidi="ar"/>
              </w:rPr>
            </w:pPr>
            <w:r>
              <w:rPr>
                <w:rFonts w:ascii="宋体" w:hAnsi="宋体"/>
                <w:sz w:val="21"/>
                <w:szCs w:val="21"/>
                <w:highlight w:val="none"/>
              </w:rPr>
              <w:t>620.34</w:t>
            </w:r>
          </w:p>
        </w:tc>
        <w:tc>
          <w:tcPr>
            <w:tcW w:w="1150" w:type="dxa"/>
            <w:tcBorders>
              <w:top w:val="single" w:color="auto" w:sz="4" w:space="0"/>
              <w:left w:val="single" w:color="auto" w:sz="4" w:space="0"/>
              <w:bottom w:val="single" w:color="auto" w:sz="4" w:space="0"/>
              <w:right w:val="single" w:color="auto" w:sz="4" w:space="0"/>
            </w:tcBorders>
            <w:vAlign w:val="center"/>
          </w:tcPr>
          <w:p w14:paraId="468590B6">
            <w:pPr>
              <w:snapToGrid w:val="0"/>
              <w:jc w:val="right"/>
              <w:rPr>
                <w:rFonts w:ascii="宋体" w:hAnsi="宋体" w:cs="宋体"/>
                <w:szCs w:val="21"/>
                <w:highlight w:val="none"/>
              </w:rPr>
            </w:pPr>
            <w:r>
              <w:rPr>
                <w:rFonts w:ascii="宋体" w:hAnsi="宋体"/>
                <w:sz w:val="21"/>
                <w:szCs w:val="21"/>
                <w:highlight w:val="none"/>
              </w:rPr>
              <w:t>4,069.14</w:t>
            </w:r>
          </w:p>
        </w:tc>
      </w:tr>
      <w:tr w14:paraId="60444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805" w:type="pct"/>
            <w:tcBorders>
              <w:top w:val="single" w:color="auto" w:sz="4" w:space="0"/>
              <w:left w:val="single" w:color="auto" w:sz="4" w:space="0"/>
              <w:bottom w:val="single" w:color="auto" w:sz="4" w:space="0"/>
              <w:right w:val="single" w:color="auto" w:sz="4" w:space="0"/>
            </w:tcBorders>
            <w:vAlign w:val="center"/>
          </w:tcPr>
          <w:p w14:paraId="56D48320">
            <w:pPr>
              <w:rPr>
                <w:rFonts w:hint="default" w:ascii="宋体" w:hAnsi="宋体" w:cs="宋体" w:eastAsiaTheme="minorEastAsia"/>
                <w:szCs w:val="21"/>
                <w:highlight w:val="none"/>
                <w:lang w:val="en-US" w:eastAsia="zh-CN"/>
              </w:rPr>
            </w:pPr>
            <w:r>
              <w:rPr>
                <w:rFonts w:hint="eastAsia" w:ascii="宋体" w:hAnsi="宋体" w:cs="宋体"/>
                <w:szCs w:val="21"/>
                <w:highlight w:val="none"/>
                <w:lang w:val="en-US" w:eastAsia="zh-CN"/>
              </w:rPr>
              <w:t>小计</w:t>
            </w:r>
          </w:p>
        </w:tc>
        <w:tc>
          <w:tcPr>
            <w:tcW w:w="524" w:type="pct"/>
            <w:tcBorders>
              <w:top w:val="single" w:color="auto" w:sz="4" w:space="0"/>
              <w:left w:val="single" w:color="auto" w:sz="4" w:space="0"/>
              <w:bottom w:val="single" w:color="auto" w:sz="4" w:space="0"/>
              <w:right w:val="single" w:color="auto" w:sz="4" w:space="0"/>
            </w:tcBorders>
            <w:vAlign w:val="center"/>
          </w:tcPr>
          <w:p w14:paraId="781DB249">
            <w:pPr>
              <w:widowControl/>
              <w:jc w:val="left"/>
              <w:textAlignment w:val="center"/>
              <w:rPr>
                <w:rFonts w:hint="eastAsia" w:ascii="宋体" w:hAnsi="宋体" w:eastAsia="宋体" w:cs="宋体"/>
                <w:color w:val="000000"/>
                <w:kern w:val="0"/>
                <w:szCs w:val="21"/>
                <w:highlight w:val="none"/>
                <w:lang w:bidi="ar"/>
              </w:rPr>
            </w:pPr>
          </w:p>
        </w:tc>
        <w:tc>
          <w:tcPr>
            <w:tcW w:w="645" w:type="pct"/>
            <w:tcBorders>
              <w:top w:val="single" w:color="auto" w:sz="4" w:space="0"/>
              <w:left w:val="single" w:color="auto" w:sz="4" w:space="0"/>
              <w:bottom w:val="single" w:color="auto" w:sz="4" w:space="0"/>
              <w:right w:val="single" w:color="auto" w:sz="4" w:space="0"/>
            </w:tcBorders>
            <w:vAlign w:val="center"/>
          </w:tcPr>
          <w:p w14:paraId="7B47CA20">
            <w:pPr>
              <w:widowControl/>
              <w:rPr>
                <w:rFonts w:hint="eastAsia" w:ascii="宋体" w:hAnsi="宋体" w:cs="宋体"/>
                <w:kern w:val="0"/>
                <w:szCs w:val="21"/>
                <w:highlight w:val="none"/>
              </w:rPr>
            </w:pPr>
          </w:p>
        </w:tc>
        <w:tc>
          <w:tcPr>
            <w:tcW w:w="675" w:type="pct"/>
            <w:tcBorders>
              <w:top w:val="single" w:color="auto" w:sz="4" w:space="0"/>
              <w:left w:val="single" w:color="auto" w:sz="4" w:space="0"/>
              <w:bottom w:val="single" w:color="auto" w:sz="4" w:space="0"/>
              <w:right w:val="single" w:color="auto" w:sz="4" w:space="0"/>
            </w:tcBorders>
            <w:vAlign w:val="center"/>
          </w:tcPr>
          <w:p w14:paraId="6D47CEFA">
            <w:pPr>
              <w:widowControl/>
              <w:jc w:val="left"/>
              <w:textAlignment w:val="center"/>
              <w:rPr>
                <w:rFonts w:hint="eastAsia" w:ascii="宋体" w:hAnsi="宋体" w:eastAsia="宋体" w:cs="宋体"/>
                <w:color w:val="000000"/>
                <w:kern w:val="0"/>
                <w:szCs w:val="21"/>
                <w:highlight w:val="none"/>
                <w:lang w:bidi="ar"/>
              </w:rPr>
            </w:pPr>
          </w:p>
        </w:tc>
        <w:tc>
          <w:tcPr>
            <w:tcW w:w="1366" w:type="dxa"/>
            <w:tcBorders>
              <w:top w:val="single" w:color="auto" w:sz="4" w:space="0"/>
              <w:left w:val="single" w:color="auto" w:sz="4" w:space="0"/>
              <w:bottom w:val="single" w:color="auto" w:sz="4" w:space="0"/>
              <w:right w:val="single" w:color="auto" w:sz="4" w:space="0"/>
            </w:tcBorders>
            <w:vAlign w:val="center"/>
          </w:tcPr>
          <w:p w14:paraId="1B80DE01">
            <w:pPr>
              <w:snapToGrid w:val="0"/>
              <w:jc w:val="right"/>
              <w:rPr>
                <w:rFonts w:ascii="宋体" w:hAnsi="宋体"/>
                <w:szCs w:val="21"/>
                <w:highlight w:val="none"/>
              </w:rPr>
            </w:pPr>
            <w:r>
              <w:rPr>
                <w:rFonts w:hint="eastAsia" w:ascii="宋体" w:hAnsi="宋体"/>
                <w:b/>
                <w:sz w:val="21"/>
                <w:szCs w:val="21"/>
                <w:highlight w:val="none"/>
              </w:rPr>
              <w:t>7</w:t>
            </w:r>
            <w:r>
              <w:rPr>
                <w:rFonts w:ascii="宋体" w:hAnsi="宋体"/>
                <w:b/>
                <w:sz w:val="21"/>
                <w:szCs w:val="21"/>
                <w:highlight w:val="none"/>
              </w:rPr>
              <w:t>,</w:t>
            </w:r>
            <w:r>
              <w:rPr>
                <w:rFonts w:hint="eastAsia" w:ascii="宋体" w:hAnsi="宋体"/>
                <w:b/>
                <w:sz w:val="21"/>
                <w:szCs w:val="21"/>
                <w:highlight w:val="none"/>
              </w:rPr>
              <w:t>000</w:t>
            </w:r>
          </w:p>
        </w:tc>
        <w:tc>
          <w:tcPr>
            <w:tcW w:w="1484" w:type="dxa"/>
            <w:tcBorders>
              <w:top w:val="single" w:color="auto" w:sz="4" w:space="0"/>
              <w:left w:val="single" w:color="auto" w:sz="4" w:space="0"/>
              <w:bottom w:val="single" w:color="auto" w:sz="4" w:space="0"/>
              <w:right w:val="single" w:color="auto" w:sz="4" w:space="0"/>
            </w:tcBorders>
            <w:vAlign w:val="center"/>
          </w:tcPr>
          <w:p w14:paraId="5126D8AC">
            <w:pPr>
              <w:snapToGrid w:val="0"/>
              <w:jc w:val="right"/>
              <w:rPr>
                <w:rFonts w:hint="eastAsia" w:ascii="宋体" w:hAnsi="宋体" w:eastAsia="宋体" w:cs="宋体"/>
                <w:color w:val="000000"/>
                <w:kern w:val="0"/>
                <w:sz w:val="20"/>
                <w:szCs w:val="20"/>
                <w:highlight w:val="none"/>
                <w:lang w:bidi="ar"/>
              </w:rPr>
            </w:pPr>
            <w:r>
              <w:rPr>
                <w:rFonts w:hint="eastAsia" w:ascii="宋体" w:hAnsi="宋体"/>
                <w:b/>
                <w:sz w:val="21"/>
                <w:szCs w:val="21"/>
                <w:highlight w:val="none"/>
              </w:rPr>
              <w:t>8</w:t>
            </w:r>
            <w:r>
              <w:rPr>
                <w:rFonts w:ascii="宋体" w:hAnsi="宋体"/>
                <w:b/>
                <w:sz w:val="21"/>
                <w:szCs w:val="21"/>
                <w:highlight w:val="none"/>
              </w:rPr>
              <w:t>89.50</w:t>
            </w:r>
          </w:p>
        </w:tc>
        <w:tc>
          <w:tcPr>
            <w:tcW w:w="1150" w:type="dxa"/>
            <w:tcBorders>
              <w:top w:val="single" w:color="auto" w:sz="4" w:space="0"/>
              <w:left w:val="single" w:color="auto" w:sz="4" w:space="0"/>
              <w:bottom w:val="single" w:color="auto" w:sz="4" w:space="0"/>
              <w:right w:val="single" w:color="auto" w:sz="4" w:space="0"/>
            </w:tcBorders>
            <w:vAlign w:val="center"/>
          </w:tcPr>
          <w:p w14:paraId="61D50689">
            <w:pPr>
              <w:snapToGrid w:val="0"/>
              <w:jc w:val="right"/>
              <w:rPr>
                <w:rFonts w:hint="eastAsia" w:ascii="宋体" w:hAnsi="宋体" w:eastAsia="宋体" w:cs="宋体"/>
                <w:color w:val="000000"/>
                <w:kern w:val="0"/>
                <w:sz w:val="20"/>
                <w:szCs w:val="20"/>
                <w:highlight w:val="none"/>
                <w:lang w:bidi="ar"/>
              </w:rPr>
            </w:pPr>
            <w:r>
              <w:rPr>
                <w:rFonts w:hint="eastAsia" w:ascii="宋体" w:hAnsi="宋体"/>
                <w:b/>
                <w:sz w:val="21"/>
                <w:szCs w:val="21"/>
                <w:highlight w:val="none"/>
              </w:rPr>
              <w:t>6</w:t>
            </w:r>
            <w:r>
              <w:rPr>
                <w:rFonts w:ascii="宋体" w:hAnsi="宋体"/>
                <w:b/>
                <w:sz w:val="21"/>
                <w:szCs w:val="21"/>
                <w:highlight w:val="none"/>
              </w:rPr>
              <w:t>,706.43</w:t>
            </w:r>
          </w:p>
        </w:tc>
      </w:tr>
    </w:tbl>
    <w:p w14:paraId="2831267B">
      <w:pPr>
        <w:pStyle w:val="14"/>
        <w:ind w:firstLine="0" w:firstLineChars="0"/>
        <w:rPr>
          <w:highlight w:val="none"/>
        </w:rPr>
      </w:pPr>
    </w:p>
    <w:p w14:paraId="7277BFEB">
      <w:pPr>
        <w:spacing w:line="360" w:lineRule="auto"/>
        <w:ind w:firstLine="482" w:firstLineChars="200"/>
        <w:rPr>
          <w:rFonts w:asciiTheme="minorEastAsia" w:hAnsiTheme="minorEastAsia"/>
          <w:b/>
          <w:sz w:val="24"/>
          <w:szCs w:val="24"/>
          <w:highlight w:val="none"/>
        </w:rPr>
      </w:pPr>
      <w:r>
        <w:rPr>
          <w:rFonts w:hint="eastAsia" w:asciiTheme="minorEastAsia" w:hAnsiTheme="minorEastAsia"/>
          <w:b/>
          <w:sz w:val="24"/>
          <w:szCs w:val="24"/>
          <w:highlight w:val="none"/>
        </w:rPr>
        <w:t>（</w:t>
      </w:r>
      <w:r>
        <w:rPr>
          <w:rFonts w:asciiTheme="minorEastAsia" w:hAnsiTheme="minorEastAsia"/>
          <w:b/>
          <w:sz w:val="24"/>
          <w:szCs w:val="24"/>
          <w:highlight w:val="none"/>
        </w:rPr>
        <w:t>三）</w:t>
      </w:r>
      <w:r>
        <w:rPr>
          <w:rFonts w:hint="eastAsia" w:asciiTheme="minorEastAsia" w:hAnsiTheme="minorEastAsia"/>
          <w:b/>
          <w:sz w:val="24"/>
          <w:szCs w:val="24"/>
          <w:highlight w:val="none"/>
          <w:lang w:val="en-US" w:eastAsia="zh-CN"/>
        </w:rPr>
        <w:t>上一年度</w:t>
      </w:r>
      <w:r>
        <w:rPr>
          <w:rFonts w:asciiTheme="minorEastAsia" w:hAnsiTheme="minorEastAsia"/>
          <w:b/>
          <w:sz w:val="24"/>
          <w:szCs w:val="24"/>
          <w:highlight w:val="none"/>
        </w:rPr>
        <w:t>日常关联交易</w:t>
      </w:r>
      <w:r>
        <w:rPr>
          <w:rFonts w:hint="eastAsia" w:asciiTheme="minorEastAsia" w:hAnsiTheme="minorEastAsia"/>
          <w:b/>
          <w:sz w:val="24"/>
          <w:szCs w:val="24"/>
          <w:highlight w:val="none"/>
        </w:rPr>
        <w:t>实际</w:t>
      </w:r>
      <w:r>
        <w:rPr>
          <w:rFonts w:asciiTheme="minorEastAsia" w:hAnsiTheme="minorEastAsia"/>
          <w:b/>
          <w:sz w:val="24"/>
          <w:szCs w:val="24"/>
          <w:highlight w:val="none"/>
        </w:rPr>
        <w:t>发生情况</w:t>
      </w:r>
    </w:p>
    <w:p w14:paraId="3D3EEA74">
      <w:pPr>
        <w:spacing w:line="360" w:lineRule="auto"/>
        <w:ind w:firstLine="7350" w:firstLineChars="3500"/>
        <w:rPr>
          <w:highlight w:val="none"/>
        </w:rPr>
      </w:pPr>
      <w:r>
        <w:rPr>
          <w:rFonts w:hint="eastAsia"/>
          <w:highlight w:val="none"/>
        </w:rPr>
        <w:t>单位：万元</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42"/>
        <w:gridCol w:w="1031"/>
        <w:gridCol w:w="1430"/>
        <w:gridCol w:w="1275"/>
        <w:gridCol w:w="1399"/>
        <w:gridCol w:w="1752"/>
      </w:tblGrid>
      <w:tr w14:paraId="62EA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582" w:type="pct"/>
            <w:shd w:val="clear" w:color="auto" w:fill="D8D8D8" w:themeFill="background1" w:themeFillShade="D9"/>
            <w:vAlign w:val="center"/>
          </w:tcPr>
          <w:p w14:paraId="609213F4">
            <w:pPr>
              <w:widowControl/>
              <w:rPr>
                <w:rFonts w:ascii="宋体" w:hAnsi="宋体" w:eastAsia="宋体" w:cs="宋体"/>
                <w:b/>
                <w:kern w:val="0"/>
                <w:szCs w:val="21"/>
                <w:highlight w:val="none"/>
              </w:rPr>
            </w:pPr>
            <w:r>
              <w:rPr>
                <w:rFonts w:hint="eastAsia" w:ascii="宋体" w:hAnsi="宋体" w:eastAsia="宋体" w:cs="宋体"/>
                <w:b/>
                <w:kern w:val="0"/>
                <w:szCs w:val="21"/>
                <w:highlight w:val="none"/>
              </w:rPr>
              <w:t>关联交易类别</w:t>
            </w:r>
          </w:p>
        </w:tc>
        <w:tc>
          <w:tcPr>
            <w:tcW w:w="376" w:type="pct"/>
            <w:shd w:val="clear" w:color="auto" w:fill="D8D8D8" w:themeFill="background1" w:themeFillShade="D9"/>
            <w:vAlign w:val="center"/>
          </w:tcPr>
          <w:p w14:paraId="49E5793C">
            <w:pPr>
              <w:widowControl/>
              <w:rPr>
                <w:rFonts w:ascii="宋体" w:hAnsi="宋体" w:eastAsia="宋体" w:cs="宋体"/>
                <w:b/>
                <w:kern w:val="0"/>
                <w:szCs w:val="21"/>
                <w:highlight w:val="none"/>
              </w:rPr>
            </w:pPr>
            <w:r>
              <w:rPr>
                <w:rFonts w:hint="eastAsia" w:ascii="宋体" w:hAnsi="宋体" w:eastAsia="宋体" w:cs="宋体"/>
                <w:b/>
                <w:kern w:val="0"/>
                <w:szCs w:val="21"/>
                <w:highlight w:val="none"/>
              </w:rPr>
              <w:t>关联人</w:t>
            </w:r>
          </w:p>
        </w:tc>
        <w:tc>
          <w:tcPr>
            <w:tcW w:w="603" w:type="pct"/>
            <w:shd w:val="clear" w:color="auto" w:fill="D8D8D8" w:themeFill="background1" w:themeFillShade="D9"/>
            <w:vAlign w:val="center"/>
          </w:tcPr>
          <w:p w14:paraId="6BB6E725">
            <w:pPr>
              <w:widowControl/>
              <w:rPr>
                <w:rFonts w:ascii="宋体" w:hAnsi="宋体" w:eastAsia="宋体" w:cs="宋体"/>
                <w:b/>
                <w:kern w:val="0"/>
                <w:szCs w:val="21"/>
                <w:highlight w:val="none"/>
              </w:rPr>
            </w:pPr>
            <w:r>
              <w:rPr>
                <w:rFonts w:hint="eastAsia" w:ascii="宋体" w:hAnsi="宋体" w:eastAsia="宋体" w:cs="宋体"/>
                <w:b/>
                <w:kern w:val="0"/>
                <w:szCs w:val="21"/>
                <w:highlight w:val="none"/>
              </w:rPr>
              <w:t>关联交易内容</w:t>
            </w:r>
          </w:p>
        </w:tc>
        <w:tc>
          <w:tcPr>
            <w:tcW w:w="839" w:type="pct"/>
            <w:shd w:val="clear" w:color="auto" w:fill="D8D8D8" w:themeFill="background1" w:themeFillShade="D9"/>
            <w:vAlign w:val="center"/>
          </w:tcPr>
          <w:p w14:paraId="109EC53F">
            <w:pPr>
              <w:widowControl/>
              <w:rPr>
                <w:rFonts w:ascii="宋体" w:hAnsi="宋体" w:eastAsia="宋体" w:cs="宋体"/>
                <w:b/>
                <w:kern w:val="0"/>
                <w:szCs w:val="21"/>
                <w:highlight w:val="none"/>
              </w:rPr>
            </w:pPr>
            <w:r>
              <w:rPr>
                <w:rFonts w:hint="eastAsia" w:ascii="宋体" w:hAnsi="宋体" w:eastAsia="宋体" w:cs="宋体"/>
                <w:b/>
                <w:kern w:val="0"/>
                <w:szCs w:val="21"/>
                <w:highlight w:val="none"/>
              </w:rPr>
              <w:t>实际发生金额</w:t>
            </w:r>
          </w:p>
        </w:tc>
        <w:tc>
          <w:tcPr>
            <w:tcW w:w="748" w:type="pct"/>
            <w:shd w:val="clear" w:color="auto" w:fill="D8D8D8" w:themeFill="background1" w:themeFillShade="D9"/>
            <w:vAlign w:val="center"/>
          </w:tcPr>
          <w:p w14:paraId="18098CBE">
            <w:pPr>
              <w:widowControl/>
              <w:rPr>
                <w:rFonts w:ascii="宋体" w:hAnsi="宋体" w:eastAsia="宋体" w:cs="宋体"/>
                <w:b/>
                <w:kern w:val="0"/>
                <w:szCs w:val="21"/>
                <w:highlight w:val="none"/>
              </w:rPr>
            </w:pPr>
            <w:r>
              <w:rPr>
                <w:rFonts w:hint="eastAsia" w:ascii="宋体" w:hAnsi="宋体" w:eastAsia="宋体" w:cs="宋体"/>
                <w:b/>
                <w:kern w:val="0"/>
                <w:szCs w:val="21"/>
                <w:highlight w:val="none"/>
                <w:lang w:bidi="ar"/>
              </w:rPr>
              <w:t>预计金额</w:t>
            </w:r>
          </w:p>
        </w:tc>
        <w:tc>
          <w:tcPr>
            <w:tcW w:w="821" w:type="pct"/>
            <w:shd w:val="clear" w:color="auto" w:fill="D8D8D8" w:themeFill="background1" w:themeFillShade="D9"/>
            <w:vAlign w:val="center"/>
          </w:tcPr>
          <w:p w14:paraId="590EF38A">
            <w:pPr>
              <w:widowControl/>
              <w:rPr>
                <w:rFonts w:ascii="宋体" w:hAnsi="宋体" w:eastAsia="宋体" w:cs="宋体"/>
                <w:b/>
                <w:kern w:val="0"/>
                <w:szCs w:val="21"/>
                <w:highlight w:val="none"/>
              </w:rPr>
            </w:pPr>
            <w:r>
              <w:rPr>
                <w:rFonts w:hint="eastAsia" w:ascii="宋体" w:hAnsi="宋体" w:eastAsia="宋体" w:cs="宋体"/>
                <w:b/>
                <w:kern w:val="0"/>
                <w:szCs w:val="21"/>
                <w:highlight w:val="none"/>
                <w:lang w:bidi="ar"/>
              </w:rPr>
              <w:t>实际发生额与预计金额差异（%）</w:t>
            </w:r>
          </w:p>
        </w:tc>
        <w:tc>
          <w:tcPr>
            <w:tcW w:w="1028" w:type="pct"/>
            <w:shd w:val="clear" w:color="auto" w:fill="D8D8D8" w:themeFill="background1" w:themeFillShade="D9"/>
            <w:vAlign w:val="center"/>
          </w:tcPr>
          <w:p w14:paraId="3BCE23D4">
            <w:pPr>
              <w:widowControl/>
              <w:rPr>
                <w:rFonts w:ascii="宋体" w:hAnsi="宋体" w:eastAsia="宋体" w:cs="宋体"/>
                <w:b/>
                <w:kern w:val="0"/>
                <w:szCs w:val="21"/>
                <w:highlight w:val="none"/>
              </w:rPr>
            </w:pPr>
            <w:r>
              <w:rPr>
                <w:rFonts w:hint="eastAsia" w:ascii="宋体" w:hAnsi="宋体" w:eastAsia="宋体" w:cs="宋体"/>
                <w:b/>
                <w:kern w:val="0"/>
                <w:szCs w:val="21"/>
                <w:highlight w:val="none"/>
              </w:rPr>
              <w:t>披露日期及索引</w:t>
            </w:r>
          </w:p>
        </w:tc>
      </w:tr>
      <w:tr w14:paraId="3A2E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2" w:type="pct"/>
            <w:shd w:val="clear" w:color="auto" w:fill="auto"/>
            <w:vAlign w:val="center"/>
          </w:tcPr>
          <w:p w14:paraId="54DB9D28">
            <w:pPr>
              <w:widowControl/>
              <w:rPr>
                <w:rFonts w:ascii="宋体" w:hAnsi="宋体" w:cs="宋体"/>
                <w:kern w:val="0"/>
                <w:szCs w:val="21"/>
              </w:rPr>
            </w:pPr>
            <w:r>
              <w:rPr>
                <w:rFonts w:hint="eastAsia" w:ascii="宋体" w:hAnsi="宋体" w:cs="宋体"/>
                <w:kern w:val="0"/>
                <w:szCs w:val="21"/>
              </w:rPr>
              <w:t>向关联人采购原材料</w:t>
            </w:r>
          </w:p>
        </w:tc>
        <w:tc>
          <w:tcPr>
            <w:tcW w:w="376" w:type="pct"/>
            <w:shd w:val="clear" w:color="auto" w:fill="auto"/>
            <w:vAlign w:val="center"/>
          </w:tcPr>
          <w:p w14:paraId="07235DDD">
            <w:pPr>
              <w:widowControl/>
              <w:rPr>
                <w:rFonts w:ascii="宋体" w:hAnsi="宋体" w:cs="宋体"/>
                <w:kern w:val="0"/>
                <w:szCs w:val="21"/>
              </w:rPr>
            </w:pPr>
            <w:r>
              <w:rPr>
                <w:rFonts w:hint="eastAsia" w:ascii="宋体" w:hAnsi="宋体" w:eastAsia="宋体" w:cs="宋体"/>
                <w:color w:val="000000"/>
                <w:kern w:val="0"/>
                <w:szCs w:val="21"/>
                <w:lang w:bidi="ar"/>
              </w:rPr>
              <w:t>鲲鹏无限</w:t>
            </w:r>
          </w:p>
        </w:tc>
        <w:tc>
          <w:tcPr>
            <w:tcW w:w="603" w:type="pct"/>
            <w:shd w:val="clear" w:color="auto" w:fill="auto"/>
            <w:vAlign w:val="center"/>
          </w:tcPr>
          <w:p w14:paraId="100AE3F9">
            <w:pPr>
              <w:widowControl/>
              <w:rPr>
                <w:rFonts w:ascii="宋体" w:hAnsi="宋体" w:eastAsia="宋体" w:cs="宋体"/>
                <w:kern w:val="0"/>
                <w:szCs w:val="21"/>
              </w:rPr>
            </w:pPr>
            <w:r>
              <w:rPr>
                <w:rFonts w:hint="eastAsia" w:ascii="宋体" w:hAnsi="宋体" w:eastAsia="宋体" w:cs="宋体"/>
                <w:color w:val="000000"/>
                <w:kern w:val="0"/>
                <w:szCs w:val="21"/>
                <w:lang w:bidi="ar"/>
              </w:rPr>
              <w:t>采购芯片等原材料</w:t>
            </w:r>
          </w:p>
        </w:tc>
        <w:tc>
          <w:tcPr>
            <w:tcW w:w="1430" w:type="dxa"/>
            <w:shd w:val="clear" w:color="auto" w:fill="auto"/>
            <w:vAlign w:val="center"/>
          </w:tcPr>
          <w:p w14:paraId="079308BE">
            <w:pPr>
              <w:widowControl/>
              <w:snapToGrid w:val="0"/>
              <w:jc w:val="center"/>
              <w:rPr>
                <w:rFonts w:ascii="宋体" w:hAnsi="宋体" w:cs="宋体"/>
                <w:kern w:val="0"/>
                <w:szCs w:val="21"/>
                <w:highlight w:val="yellow"/>
              </w:rPr>
            </w:pPr>
            <w:r>
              <w:rPr>
                <w:rFonts w:ascii="宋体" w:hAnsi="宋体"/>
                <w:sz w:val="21"/>
                <w:szCs w:val="21"/>
              </w:rPr>
              <w:t>2</w:t>
            </w:r>
            <w:r>
              <w:rPr>
                <w:rFonts w:hint="eastAsia" w:ascii="宋体" w:hAnsi="宋体"/>
                <w:sz w:val="21"/>
                <w:szCs w:val="21"/>
              </w:rPr>
              <w:t>,</w:t>
            </w:r>
            <w:r>
              <w:rPr>
                <w:rFonts w:ascii="宋体" w:hAnsi="宋体"/>
                <w:sz w:val="21"/>
                <w:szCs w:val="21"/>
              </w:rPr>
              <w:t>637.29</w:t>
            </w:r>
          </w:p>
        </w:tc>
        <w:tc>
          <w:tcPr>
            <w:tcW w:w="1275" w:type="dxa"/>
            <w:shd w:val="clear" w:color="auto" w:fill="auto"/>
            <w:vAlign w:val="center"/>
          </w:tcPr>
          <w:p w14:paraId="7948381B">
            <w:pPr>
              <w:widowControl/>
              <w:snapToGrid w:val="0"/>
              <w:jc w:val="center"/>
              <w:rPr>
                <w:rFonts w:ascii="宋体" w:hAnsi="宋体" w:cs="宋体"/>
                <w:kern w:val="0"/>
                <w:szCs w:val="21"/>
              </w:rPr>
            </w:pPr>
            <w:r>
              <w:rPr>
                <w:rFonts w:ascii="宋体" w:hAnsi="宋体" w:cs="宋体"/>
                <w:color w:val="000000"/>
                <w:kern w:val="0"/>
                <w:sz w:val="21"/>
                <w:szCs w:val="21"/>
                <w:lang w:bidi="ar"/>
              </w:rPr>
              <w:t>4,073</w:t>
            </w:r>
          </w:p>
        </w:tc>
        <w:tc>
          <w:tcPr>
            <w:tcW w:w="1399" w:type="dxa"/>
            <w:shd w:val="clear" w:color="auto" w:fill="auto"/>
            <w:vAlign w:val="center"/>
          </w:tcPr>
          <w:p w14:paraId="582D44CF">
            <w:pPr>
              <w:widowControl/>
              <w:snapToGrid w:val="0"/>
              <w:jc w:val="center"/>
              <w:rPr>
                <w:rFonts w:ascii="宋体" w:hAnsi="宋体" w:cs="宋体"/>
                <w:kern w:val="0"/>
                <w:szCs w:val="21"/>
                <w:highlight w:val="yellow"/>
              </w:rPr>
            </w:pPr>
            <w:r>
              <w:rPr>
                <w:rFonts w:ascii="宋体" w:hAnsi="宋体" w:cs="宋体"/>
                <w:color w:val="000000"/>
                <w:kern w:val="0"/>
                <w:sz w:val="21"/>
                <w:szCs w:val="21"/>
                <w:lang w:bidi="ar"/>
              </w:rPr>
              <w:t>-35.2</w:t>
            </w:r>
            <w:r>
              <w:rPr>
                <w:rFonts w:hint="eastAsia" w:ascii="宋体" w:hAnsi="宋体" w:cs="宋体"/>
                <w:color w:val="000000"/>
                <w:kern w:val="0"/>
                <w:sz w:val="21"/>
                <w:szCs w:val="21"/>
                <w:lang w:val="en-US" w:eastAsia="zh-CN" w:bidi="ar"/>
              </w:rPr>
              <w:t>5</w:t>
            </w:r>
          </w:p>
        </w:tc>
        <w:tc>
          <w:tcPr>
            <w:tcW w:w="1028" w:type="pct"/>
            <w:vMerge w:val="restart"/>
            <w:shd w:val="clear" w:color="auto" w:fill="auto"/>
            <w:vAlign w:val="center"/>
          </w:tcPr>
          <w:p w14:paraId="4C2E3293">
            <w:pPr>
              <w:widowControl/>
              <w:jc w:val="center"/>
              <w:rPr>
                <w:rFonts w:ascii="宋体" w:hAnsi="宋体" w:cs="宋体"/>
                <w:kern w:val="0"/>
                <w:szCs w:val="21"/>
              </w:rPr>
            </w:pPr>
            <w:r>
              <w:rPr>
                <w:rFonts w:hint="eastAsia" w:ascii="宋体" w:hAnsi="宋体" w:cs="宋体"/>
                <w:kern w:val="0"/>
                <w:szCs w:val="21"/>
              </w:rPr>
              <w:t>2023年12月29日，披露在巨潮资讯网的《关于2024年度公司日常关联交易预计的公告》</w:t>
            </w:r>
          </w:p>
        </w:tc>
      </w:tr>
      <w:tr w14:paraId="19A6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2" w:type="pct"/>
            <w:shd w:val="clear" w:color="auto" w:fill="auto"/>
            <w:vAlign w:val="center"/>
          </w:tcPr>
          <w:p w14:paraId="78877FCC">
            <w:pPr>
              <w:widowControl/>
              <w:rPr>
                <w:rFonts w:ascii="宋体" w:hAnsi="宋体" w:cs="宋体"/>
                <w:kern w:val="0"/>
                <w:szCs w:val="21"/>
              </w:rPr>
            </w:pPr>
            <w:r>
              <w:rPr>
                <w:rFonts w:hint="eastAsia" w:ascii="宋体" w:hAnsi="宋体" w:cs="宋体"/>
                <w:kern w:val="0"/>
                <w:szCs w:val="21"/>
              </w:rPr>
              <w:t>向关联人销售产品、商品</w:t>
            </w:r>
          </w:p>
        </w:tc>
        <w:tc>
          <w:tcPr>
            <w:tcW w:w="376" w:type="pct"/>
            <w:shd w:val="clear" w:color="auto" w:fill="auto"/>
            <w:vAlign w:val="center"/>
          </w:tcPr>
          <w:p w14:paraId="542BDDDD">
            <w:pPr>
              <w:widowControl/>
              <w:rPr>
                <w:rFonts w:ascii="宋体" w:hAnsi="宋体" w:cs="宋体"/>
                <w:kern w:val="0"/>
                <w:szCs w:val="21"/>
              </w:rPr>
            </w:pPr>
            <w:r>
              <w:rPr>
                <w:rFonts w:hint="eastAsia" w:ascii="宋体" w:hAnsi="宋体" w:eastAsia="宋体" w:cs="宋体"/>
                <w:color w:val="000000"/>
                <w:kern w:val="0"/>
                <w:szCs w:val="21"/>
                <w:lang w:bidi="ar"/>
              </w:rPr>
              <w:t>鲲鹏无限</w:t>
            </w:r>
          </w:p>
        </w:tc>
        <w:tc>
          <w:tcPr>
            <w:tcW w:w="603" w:type="pct"/>
            <w:shd w:val="clear" w:color="auto" w:fill="auto"/>
            <w:vAlign w:val="center"/>
          </w:tcPr>
          <w:p w14:paraId="0019B973">
            <w:pPr>
              <w:widowControl/>
              <w:rPr>
                <w:rFonts w:ascii="宋体" w:hAnsi="宋体" w:cs="宋体"/>
                <w:kern w:val="0"/>
                <w:szCs w:val="21"/>
              </w:rPr>
            </w:pPr>
            <w:r>
              <w:rPr>
                <w:rFonts w:hint="eastAsia" w:ascii="宋体" w:hAnsi="宋体" w:cs="宋体"/>
                <w:kern w:val="0"/>
                <w:szCs w:val="21"/>
              </w:rPr>
              <w:t>销售路由器等产品</w:t>
            </w:r>
          </w:p>
        </w:tc>
        <w:tc>
          <w:tcPr>
            <w:tcW w:w="1430" w:type="dxa"/>
            <w:shd w:val="clear" w:color="auto" w:fill="auto"/>
            <w:vAlign w:val="center"/>
          </w:tcPr>
          <w:p w14:paraId="2D21C06B">
            <w:pPr>
              <w:widowControl/>
              <w:snapToGrid w:val="0"/>
              <w:jc w:val="center"/>
              <w:rPr>
                <w:rFonts w:ascii="宋体" w:hAnsi="宋体" w:cs="宋体"/>
                <w:kern w:val="0"/>
                <w:szCs w:val="21"/>
                <w:highlight w:val="yellow"/>
              </w:rPr>
            </w:pPr>
            <w:r>
              <w:rPr>
                <w:rFonts w:ascii="宋体" w:hAnsi="宋体"/>
                <w:sz w:val="21"/>
                <w:szCs w:val="21"/>
              </w:rPr>
              <w:t>4,069.14</w:t>
            </w:r>
          </w:p>
        </w:tc>
        <w:tc>
          <w:tcPr>
            <w:tcW w:w="1275" w:type="dxa"/>
            <w:shd w:val="clear" w:color="auto" w:fill="auto"/>
            <w:vAlign w:val="center"/>
          </w:tcPr>
          <w:p w14:paraId="3EDFC24E">
            <w:pPr>
              <w:widowControl/>
              <w:snapToGrid w:val="0"/>
              <w:jc w:val="center"/>
              <w:rPr>
                <w:rFonts w:ascii="宋体" w:hAnsi="宋体" w:cs="宋体"/>
                <w:kern w:val="0"/>
                <w:szCs w:val="21"/>
              </w:rPr>
            </w:pPr>
            <w:r>
              <w:rPr>
                <w:rFonts w:ascii="宋体" w:hAnsi="宋体" w:cs="宋体"/>
                <w:color w:val="000000"/>
                <w:kern w:val="0"/>
                <w:sz w:val="21"/>
                <w:szCs w:val="21"/>
                <w:lang w:bidi="ar"/>
              </w:rPr>
              <w:t>4,243</w:t>
            </w:r>
          </w:p>
        </w:tc>
        <w:tc>
          <w:tcPr>
            <w:tcW w:w="1399" w:type="dxa"/>
            <w:shd w:val="clear" w:color="auto" w:fill="auto"/>
            <w:vAlign w:val="center"/>
          </w:tcPr>
          <w:p w14:paraId="05220B51">
            <w:pPr>
              <w:widowControl/>
              <w:snapToGrid w:val="0"/>
              <w:jc w:val="center"/>
              <w:rPr>
                <w:rFonts w:ascii="宋体" w:hAnsi="宋体" w:cs="宋体"/>
                <w:kern w:val="0"/>
                <w:szCs w:val="21"/>
                <w:highlight w:val="yellow"/>
              </w:rPr>
            </w:pPr>
            <w:r>
              <w:rPr>
                <w:rFonts w:ascii="宋体" w:hAnsi="宋体" w:cs="宋体"/>
                <w:color w:val="000000"/>
                <w:kern w:val="0"/>
                <w:sz w:val="21"/>
                <w:szCs w:val="21"/>
                <w:lang w:bidi="ar"/>
              </w:rPr>
              <w:t>-4.10</w:t>
            </w:r>
          </w:p>
        </w:tc>
        <w:tc>
          <w:tcPr>
            <w:tcW w:w="1028" w:type="pct"/>
            <w:vMerge w:val="continue"/>
            <w:shd w:val="clear" w:color="auto" w:fill="auto"/>
            <w:vAlign w:val="center"/>
          </w:tcPr>
          <w:p w14:paraId="0C0F7F1A">
            <w:pPr>
              <w:widowControl/>
              <w:jc w:val="center"/>
              <w:rPr>
                <w:rFonts w:ascii="宋体" w:hAnsi="宋体" w:cs="宋体"/>
                <w:kern w:val="0"/>
                <w:szCs w:val="21"/>
              </w:rPr>
            </w:pPr>
          </w:p>
        </w:tc>
      </w:tr>
      <w:tr w14:paraId="6F950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563" w:type="pct"/>
            <w:gridSpan w:val="3"/>
            <w:shd w:val="clear" w:color="auto" w:fill="auto"/>
            <w:vAlign w:val="center"/>
          </w:tcPr>
          <w:p w14:paraId="0AB4CAD7">
            <w:pPr>
              <w:widowControl/>
              <w:rPr>
                <w:rFonts w:ascii="宋体" w:hAnsi="宋体" w:cs="宋体"/>
                <w:kern w:val="0"/>
                <w:szCs w:val="21"/>
              </w:rPr>
            </w:pPr>
            <w:r>
              <w:rPr>
                <w:rFonts w:hint="eastAsia" w:ascii="宋体" w:hAnsi="宋体" w:cs="宋体"/>
                <w:kern w:val="0"/>
                <w:szCs w:val="21"/>
              </w:rPr>
              <w:t>公司董事会对日常关联交易实际发生情况与预计存在较大差异的说明</w:t>
            </w:r>
          </w:p>
        </w:tc>
        <w:tc>
          <w:tcPr>
            <w:tcW w:w="3436" w:type="pct"/>
            <w:gridSpan w:val="4"/>
          </w:tcPr>
          <w:p w14:paraId="467D3AA6">
            <w:pPr>
              <w:widowControl/>
              <w:rPr>
                <w:rFonts w:ascii="宋体" w:hAnsi="宋体" w:cs="宋体"/>
                <w:kern w:val="0"/>
                <w:szCs w:val="21"/>
              </w:rPr>
            </w:pPr>
            <w:r>
              <w:rPr>
                <w:rFonts w:hint="eastAsia" w:ascii="宋体" w:hAnsi="宋体" w:eastAsia="宋体" w:cs="宋体"/>
                <w:color w:val="000000"/>
                <w:kern w:val="0"/>
                <w:szCs w:val="21"/>
                <w:lang w:bidi="ar"/>
              </w:rPr>
              <w:t>公司在进行2024年度日常关联交易预计时，主要根据市场及双方业务需求以可能发生关联交易的上限金额进行评估与测算，但实际发生额因双方业务发展、实际需求及具体执行进度等影响；实际发生额与预计金额存在差异，属于正常经营行为，对公司日常经营及业绩不会产生重大影响。</w:t>
            </w:r>
          </w:p>
        </w:tc>
      </w:tr>
      <w:tr w14:paraId="12DCC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63" w:type="pct"/>
            <w:gridSpan w:val="3"/>
            <w:shd w:val="clear" w:color="auto" w:fill="auto"/>
            <w:vAlign w:val="center"/>
          </w:tcPr>
          <w:p w14:paraId="3C3BF302">
            <w:pPr>
              <w:widowControl/>
              <w:rPr>
                <w:rFonts w:ascii="宋体" w:hAnsi="宋体" w:cs="宋体"/>
                <w:kern w:val="0"/>
                <w:szCs w:val="21"/>
              </w:rPr>
            </w:pPr>
            <w:r>
              <w:rPr>
                <w:rFonts w:hint="eastAsia" w:ascii="宋体" w:hAnsi="宋体" w:cs="宋体"/>
                <w:kern w:val="0"/>
                <w:szCs w:val="21"/>
              </w:rPr>
              <w:t>公司独立董事对日常关联交易实际发生情况与预计存在较大差异的说明</w:t>
            </w:r>
          </w:p>
        </w:tc>
        <w:tc>
          <w:tcPr>
            <w:tcW w:w="3436" w:type="pct"/>
            <w:gridSpan w:val="4"/>
          </w:tcPr>
          <w:p w14:paraId="5B05EA74">
            <w:pPr>
              <w:widowControl/>
              <w:rPr>
                <w:rFonts w:ascii="宋体" w:hAnsi="宋体" w:cs="宋体"/>
                <w:kern w:val="0"/>
                <w:szCs w:val="21"/>
              </w:rPr>
            </w:pPr>
            <w:r>
              <w:rPr>
                <w:rFonts w:hint="eastAsia" w:ascii="宋体" w:hAnsi="宋体" w:eastAsia="宋体" w:cs="宋体"/>
                <w:color w:val="000000"/>
                <w:kern w:val="0"/>
                <w:szCs w:val="21"/>
                <w:lang w:bidi="ar"/>
              </w:rPr>
              <w:t>公司2024年日常关联交易的实际发生数额与预计金额存在差异，主要系公司根据市场及双方业务需求变化情况进行适当调整所致，具有其合理性，不会对公司的财务状况、经营成果产生重大影响，不会影响公司独立性，不存在损害公司和中小</w:t>
            </w:r>
            <w:bookmarkStart w:id="0" w:name="_GoBack"/>
            <w:bookmarkEnd w:id="0"/>
            <w:r>
              <w:rPr>
                <w:rFonts w:hint="eastAsia" w:ascii="宋体" w:hAnsi="宋体" w:eastAsia="宋体" w:cs="宋体"/>
                <w:color w:val="000000"/>
                <w:kern w:val="0"/>
                <w:szCs w:val="21"/>
                <w:lang w:bidi="ar"/>
              </w:rPr>
              <w:t>股东利益的情形。</w:t>
            </w:r>
          </w:p>
        </w:tc>
      </w:tr>
    </w:tbl>
    <w:p w14:paraId="681A20DC">
      <w:pPr>
        <w:spacing w:line="360" w:lineRule="auto"/>
        <w:rPr>
          <w:rFonts w:asciiTheme="minorEastAsia" w:hAnsiTheme="minorEastAsia"/>
          <w:sz w:val="24"/>
          <w:szCs w:val="24"/>
        </w:rPr>
      </w:pPr>
    </w:p>
    <w:p w14:paraId="3EEA6D82">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二、关联人介绍和关联关系</w:t>
      </w:r>
    </w:p>
    <w:p w14:paraId="750CCB92">
      <w:pPr>
        <w:spacing w:line="360" w:lineRule="auto"/>
        <w:ind w:firstLine="482" w:firstLineChars="200"/>
        <w:contextualSpacing/>
        <w:rPr>
          <w:rFonts w:asciiTheme="minorEastAsia" w:hAnsiTheme="minorEastAsia"/>
          <w:b/>
          <w:sz w:val="24"/>
          <w:szCs w:val="24"/>
        </w:rPr>
      </w:pPr>
      <w:r>
        <w:rPr>
          <w:rFonts w:hint="eastAsia" w:asciiTheme="minorEastAsia" w:hAnsiTheme="minorEastAsia"/>
          <w:b/>
          <w:sz w:val="24"/>
          <w:szCs w:val="24"/>
        </w:rPr>
        <w:t>（一）基本情况</w:t>
      </w:r>
    </w:p>
    <w:p w14:paraId="67151113">
      <w:pPr>
        <w:spacing w:line="360" w:lineRule="auto"/>
        <w:ind w:firstLine="480" w:firstLineChars="200"/>
        <w:contextualSpacing/>
        <w:rPr>
          <w:rFonts w:asciiTheme="minorEastAsia" w:hAnsiTheme="minorEastAsia"/>
          <w:bCs/>
          <w:sz w:val="24"/>
          <w:szCs w:val="24"/>
        </w:rPr>
      </w:pPr>
      <w:r>
        <w:rPr>
          <w:rFonts w:hint="eastAsia" w:asciiTheme="minorEastAsia" w:hAnsiTheme="minorEastAsia"/>
          <w:bCs/>
          <w:sz w:val="24"/>
          <w:szCs w:val="24"/>
        </w:rPr>
        <w:t>（1）公司名称：深圳鲲鹏无限科技有限公司</w:t>
      </w:r>
    </w:p>
    <w:p w14:paraId="24C53AB2">
      <w:pPr>
        <w:spacing w:line="360" w:lineRule="auto"/>
        <w:ind w:firstLine="480" w:firstLineChars="200"/>
        <w:contextualSpacing/>
        <w:rPr>
          <w:rFonts w:asciiTheme="minorEastAsia" w:hAnsiTheme="minorEastAsia"/>
          <w:bCs/>
          <w:color w:val="000000"/>
          <w:sz w:val="24"/>
          <w:szCs w:val="24"/>
          <w:shd w:val="clear" w:color="auto" w:fill="FFFFFF"/>
        </w:rPr>
      </w:pPr>
      <w:r>
        <w:rPr>
          <w:rFonts w:hint="eastAsia" w:asciiTheme="minorEastAsia" w:hAnsiTheme="minorEastAsia"/>
          <w:bCs/>
          <w:color w:val="000000"/>
          <w:sz w:val="24"/>
          <w:szCs w:val="24"/>
          <w:shd w:val="clear" w:color="auto" w:fill="FFFFFF"/>
        </w:rPr>
        <w:t>（2）成立日期：2016年04月13日</w:t>
      </w:r>
    </w:p>
    <w:p w14:paraId="5E470F16">
      <w:pPr>
        <w:spacing w:line="360" w:lineRule="auto"/>
        <w:ind w:firstLine="480" w:firstLineChars="200"/>
        <w:rPr>
          <w:rFonts w:asciiTheme="minorEastAsia" w:hAnsiTheme="minorEastAsia"/>
          <w:bCs/>
          <w:color w:val="000000"/>
          <w:sz w:val="24"/>
          <w:szCs w:val="24"/>
          <w:shd w:val="clear" w:color="auto" w:fill="FFFFFF"/>
        </w:rPr>
      </w:pPr>
      <w:r>
        <w:rPr>
          <w:rFonts w:hint="eastAsia" w:asciiTheme="minorEastAsia" w:hAnsiTheme="minorEastAsia"/>
          <w:bCs/>
          <w:color w:val="000000"/>
          <w:sz w:val="24"/>
          <w:szCs w:val="24"/>
          <w:shd w:val="clear" w:color="auto" w:fill="FFFFFF"/>
        </w:rPr>
        <w:t xml:space="preserve">（3）法定代表人：张利鹏 </w:t>
      </w:r>
    </w:p>
    <w:p w14:paraId="4E374238">
      <w:pPr>
        <w:spacing w:line="360" w:lineRule="auto"/>
        <w:ind w:firstLine="480" w:firstLineChars="200"/>
        <w:rPr>
          <w:rFonts w:asciiTheme="minorEastAsia" w:hAnsiTheme="minorEastAsia"/>
          <w:sz w:val="24"/>
          <w:szCs w:val="24"/>
        </w:rPr>
      </w:pPr>
      <w:r>
        <w:rPr>
          <w:rFonts w:hint="eastAsia" w:asciiTheme="minorEastAsia" w:hAnsiTheme="minorEastAsia"/>
          <w:bCs/>
          <w:color w:val="000000"/>
          <w:sz w:val="24"/>
          <w:szCs w:val="24"/>
          <w:shd w:val="clear" w:color="auto" w:fill="FFFFFF"/>
        </w:rPr>
        <w:t>（4）注册资本：</w:t>
      </w:r>
      <w:r>
        <w:rPr>
          <w:rFonts w:asciiTheme="minorEastAsia" w:hAnsiTheme="minorEastAsia"/>
          <w:bCs/>
          <w:color w:val="000000"/>
          <w:sz w:val="24"/>
          <w:szCs w:val="24"/>
          <w:shd w:val="clear" w:color="auto" w:fill="FFFFFF"/>
        </w:rPr>
        <w:t>1000</w:t>
      </w:r>
      <w:r>
        <w:rPr>
          <w:rFonts w:hint="eastAsia" w:asciiTheme="minorEastAsia" w:hAnsiTheme="minorEastAsia"/>
          <w:bCs/>
          <w:color w:val="000000"/>
          <w:sz w:val="24"/>
          <w:szCs w:val="24"/>
          <w:shd w:val="clear" w:color="auto" w:fill="FFFFFF"/>
        </w:rPr>
        <w:t>万</w:t>
      </w:r>
      <w:r>
        <w:rPr>
          <w:rFonts w:hint="eastAsia" w:asciiTheme="minorEastAsia" w:hAnsiTheme="minorEastAsia"/>
          <w:sz w:val="24"/>
          <w:szCs w:val="24"/>
          <w:shd w:val="clear" w:color="auto" w:fill="FFFFFF"/>
        </w:rPr>
        <w:t>元人民币</w:t>
      </w:r>
    </w:p>
    <w:p w14:paraId="7953DC19">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主营业务：一般经营项目是：电子设备、通信数据设备、网络安全设备、终端设备、音频视频设备、照明设备、无人机通信系统的研发与销售；模具及塑胶制品、五金制品、电线电缆及其组件的销售；硬件设计、软件设计、工业设计、平面设计、展览展示策划；经济信息咨询；网络设备租赁服务；网络改造服务；网络技术支持服务；国内贸易（不含专营、专卖、专控商品）；经营进出口业务。（法律、行政法规、国务院决定禁止的项目除外，限制的项目须取得许可后方可经营），许可经营项目是：模具及塑胶制品、五金制品、电线电缆及其组件的生产；电子设备、通信数据设备、网络安全设备、终端设备、音频视频设备、照明设备、无人机通信系统的生产。</w:t>
      </w:r>
    </w:p>
    <w:p w14:paraId="5C4305AE">
      <w:pPr>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rPr>
        <w:t>（</w:t>
      </w:r>
      <w:r>
        <w:rPr>
          <w:rFonts w:hint="eastAsia" w:asciiTheme="minorEastAsia" w:hAnsiTheme="minorEastAsia"/>
          <w:sz w:val="24"/>
          <w:szCs w:val="24"/>
          <w:highlight w:val="none"/>
        </w:rPr>
        <w:t>6）住所：深圳市宝安区新安街道灵芝园社区22区中粮紫云大厦408</w:t>
      </w:r>
    </w:p>
    <w:p w14:paraId="50EF149B">
      <w:pPr>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（7</w:t>
      </w:r>
      <w:r>
        <w:rPr>
          <w:rFonts w:asciiTheme="minorEastAsia" w:hAnsiTheme="minorEastAsia"/>
          <w:sz w:val="24"/>
          <w:szCs w:val="24"/>
          <w:highlight w:val="none"/>
        </w:rPr>
        <w:t>）</w:t>
      </w:r>
      <w:r>
        <w:rPr>
          <w:rFonts w:hint="eastAsia" w:asciiTheme="minorEastAsia" w:hAnsiTheme="minorEastAsia"/>
          <w:sz w:val="24"/>
          <w:szCs w:val="24"/>
          <w:highlight w:val="none"/>
          <w:lang w:val="en-US" w:eastAsia="zh-CN"/>
        </w:rPr>
        <w:t>主要</w:t>
      </w:r>
      <w:r>
        <w:rPr>
          <w:rFonts w:asciiTheme="minorEastAsia" w:hAnsiTheme="minorEastAsia"/>
          <w:sz w:val="24"/>
          <w:szCs w:val="24"/>
          <w:highlight w:val="none"/>
        </w:rPr>
        <w:t>财务</w:t>
      </w:r>
      <w:r>
        <w:rPr>
          <w:rFonts w:hint="eastAsia" w:asciiTheme="minorEastAsia" w:hAnsiTheme="minorEastAsia"/>
          <w:sz w:val="24"/>
          <w:szCs w:val="24"/>
          <w:highlight w:val="none"/>
          <w:lang w:val="en-US" w:eastAsia="zh-CN"/>
        </w:rPr>
        <w:t>指标</w:t>
      </w:r>
      <w:r>
        <w:rPr>
          <w:rFonts w:asciiTheme="minorEastAsia" w:hAnsiTheme="minorEastAsia"/>
          <w:sz w:val="24"/>
          <w:szCs w:val="24"/>
          <w:highlight w:val="none"/>
        </w:rPr>
        <w:t>：</w:t>
      </w:r>
    </w:p>
    <w:p w14:paraId="79243D16">
      <w:pPr>
        <w:spacing w:line="360" w:lineRule="auto"/>
        <w:ind w:firstLine="480" w:firstLineChars="200"/>
        <w:rPr>
          <w:rFonts w:hint="eastAsia" w:asciiTheme="minorEastAsia" w:hAnsiTheme="minorEastAsia"/>
          <w:sz w:val="24"/>
          <w:szCs w:val="24"/>
          <w:highlight w:val="none"/>
        </w:rPr>
      </w:pPr>
      <w:r>
        <w:rPr>
          <w:rFonts w:hint="eastAsia" w:asciiTheme="minorEastAsia" w:hAnsiTheme="minorEastAsia"/>
          <w:sz w:val="24"/>
          <w:szCs w:val="24"/>
          <w:highlight w:val="none"/>
        </w:rPr>
        <w:t>截</w:t>
      </w:r>
      <w:r>
        <w:rPr>
          <w:rFonts w:hint="eastAsia" w:asciiTheme="minorEastAsia" w:hAnsiTheme="minorEastAsia"/>
          <w:sz w:val="24"/>
          <w:szCs w:val="24"/>
          <w:highlight w:val="none"/>
          <w:lang w:val="en-US" w:eastAsia="zh-CN"/>
        </w:rPr>
        <w:t>至</w:t>
      </w:r>
      <w:r>
        <w:rPr>
          <w:rFonts w:hint="eastAsia" w:asciiTheme="minorEastAsia" w:hAnsiTheme="minorEastAsia"/>
          <w:sz w:val="24"/>
          <w:szCs w:val="24"/>
          <w:highlight w:val="none"/>
        </w:rPr>
        <w:t>2024年</w:t>
      </w:r>
      <w:r>
        <w:rPr>
          <w:rFonts w:hint="eastAsia" w:asciiTheme="minorEastAsia" w:hAnsiTheme="minorEastAsia"/>
          <w:sz w:val="24"/>
          <w:szCs w:val="24"/>
          <w:highlight w:val="none"/>
          <w:lang w:val="en-US" w:eastAsia="zh-CN"/>
        </w:rPr>
        <w:t>12</w:t>
      </w:r>
      <w:r>
        <w:rPr>
          <w:rFonts w:hint="eastAsia" w:asciiTheme="minorEastAsia" w:hAnsiTheme="minorEastAsia"/>
          <w:sz w:val="24"/>
          <w:szCs w:val="24"/>
          <w:highlight w:val="none"/>
        </w:rPr>
        <w:t>月3</w:t>
      </w:r>
      <w:r>
        <w:rPr>
          <w:rFonts w:hint="eastAsia" w:asciiTheme="minorEastAsia" w:hAnsiTheme="minorEastAsia"/>
          <w:sz w:val="24"/>
          <w:szCs w:val="24"/>
          <w:highlight w:val="none"/>
          <w:lang w:val="en-US" w:eastAsia="zh-CN"/>
        </w:rPr>
        <w:t>1</w:t>
      </w:r>
      <w:r>
        <w:rPr>
          <w:rFonts w:hint="eastAsia" w:asciiTheme="minorEastAsia" w:hAnsiTheme="minorEastAsia"/>
          <w:sz w:val="24"/>
          <w:szCs w:val="24"/>
          <w:highlight w:val="none"/>
        </w:rPr>
        <w:t>日，鲲鹏无限总资产为4,045.38万元，所有者权益合计-2,350.21万元。2024年</w:t>
      </w:r>
      <w:r>
        <w:rPr>
          <w:rFonts w:hint="eastAsia" w:asciiTheme="minorEastAsia" w:hAnsiTheme="minorEastAsia"/>
          <w:sz w:val="24"/>
          <w:szCs w:val="24"/>
          <w:highlight w:val="none"/>
          <w:lang w:val="en-US" w:eastAsia="zh-CN"/>
        </w:rPr>
        <w:t>度</w:t>
      </w:r>
      <w:r>
        <w:rPr>
          <w:rFonts w:hint="eastAsia" w:asciiTheme="minorEastAsia" w:hAnsiTheme="minorEastAsia"/>
          <w:sz w:val="24"/>
          <w:szCs w:val="24"/>
          <w:highlight w:val="none"/>
        </w:rPr>
        <w:t>实现营业收入</w:t>
      </w:r>
      <w:r>
        <w:rPr>
          <w:rFonts w:hint="eastAsia" w:asciiTheme="minorEastAsia" w:hAnsiTheme="minorEastAsia"/>
          <w:sz w:val="24"/>
          <w:szCs w:val="24"/>
          <w:highlight w:val="none"/>
          <w:lang w:val="en-US" w:eastAsia="zh-CN"/>
        </w:rPr>
        <w:t>6</w:t>
      </w:r>
      <w:r>
        <w:rPr>
          <w:rFonts w:hint="eastAsia" w:asciiTheme="minorEastAsia" w:hAnsiTheme="minorEastAsia"/>
          <w:sz w:val="24"/>
          <w:szCs w:val="24"/>
          <w:highlight w:val="none"/>
        </w:rPr>
        <w:t>,</w:t>
      </w:r>
      <w:r>
        <w:rPr>
          <w:rFonts w:hint="eastAsia" w:asciiTheme="minorEastAsia" w:hAnsiTheme="minorEastAsia"/>
          <w:sz w:val="24"/>
          <w:szCs w:val="24"/>
          <w:highlight w:val="none"/>
          <w:lang w:val="en-US" w:eastAsia="zh-CN"/>
        </w:rPr>
        <w:t>023</w:t>
      </w:r>
      <w:r>
        <w:rPr>
          <w:rFonts w:hint="eastAsia" w:asciiTheme="minorEastAsia" w:hAnsiTheme="minorEastAsia"/>
          <w:sz w:val="24"/>
          <w:szCs w:val="24"/>
          <w:highlight w:val="none"/>
        </w:rPr>
        <w:t>.</w:t>
      </w:r>
      <w:r>
        <w:rPr>
          <w:rFonts w:hint="eastAsia" w:asciiTheme="minorEastAsia" w:hAnsiTheme="minorEastAsia"/>
          <w:sz w:val="24"/>
          <w:szCs w:val="24"/>
          <w:highlight w:val="none"/>
          <w:lang w:val="en-US" w:eastAsia="zh-CN"/>
        </w:rPr>
        <w:t>05</w:t>
      </w:r>
      <w:r>
        <w:rPr>
          <w:rFonts w:hint="eastAsia" w:asciiTheme="minorEastAsia" w:hAnsiTheme="minorEastAsia"/>
          <w:sz w:val="24"/>
          <w:szCs w:val="24"/>
          <w:highlight w:val="none"/>
        </w:rPr>
        <w:t>万元，净利润为-1,212.26万元。（以上数据</w:t>
      </w:r>
      <w:r>
        <w:rPr>
          <w:rFonts w:hint="eastAsia" w:asciiTheme="minorEastAsia" w:hAnsiTheme="minorEastAsia"/>
          <w:sz w:val="24"/>
          <w:szCs w:val="24"/>
          <w:highlight w:val="none"/>
          <w:lang w:val="en-US" w:eastAsia="zh-CN"/>
        </w:rPr>
        <w:t>未</w:t>
      </w:r>
      <w:r>
        <w:rPr>
          <w:rFonts w:hint="eastAsia" w:asciiTheme="minorEastAsia" w:hAnsiTheme="minorEastAsia"/>
          <w:sz w:val="24"/>
          <w:szCs w:val="24"/>
          <w:highlight w:val="none"/>
        </w:rPr>
        <w:t>经审计，币种为人民币）</w:t>
      </w:r>
    </w:p>
    <w:p w14:paraId="28BC7343">
      <w:pPr>
        <w:spacing w:line="360" w:lineRule="auto"/>
        <w:ind w:firstLine="480" w:firstLineChars="200"/>
        <w:rPr>
          <w:rFonts w:hint="eastAsia" w:asciiTheme="minorEastAsia" w:hAnsiTheme="minorEastAsia"/>
          <w:sz w:val="24"/>
          <w:szCs w:val="24"/>
          <w:highlight w:val="none"/>
        </w:rPr>
      </w:pPr>
      <w:r>
        <w:rPr>
          <w:rFonts w:hint="eastAsia" w:asciiTheme="minorEastAsia" w:hAnsiTheme="minorEastAsia"/>
          <w:sz w:val="24"/>
          <w:szCs w:val="24"/>
          <w:highlight w:val="none"/>
        </w:rPr>
        <w:t>截至2025年3月31 日，鲲鹏无限总资产为2,097.30万元，所有者权益合计-2,614.94万元。2025年1-3月实现营业收入838.38万元，净利润为-264.81 万元。（以上数据未经审计，币种为人民币）</w:t>
      </w:r>
    </w:p>
    <w:p w14:paraId="55AB02A6">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（二）与本公司的关联关系</w:t>
      </w:r>
    </w:p>
    <w:p w14:paraId="52484678">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公司参股公司，公司董事长兼总裁杨先进先生为鲲鹏无限董事，依据</w:t>
      </w:r>
      <w:r>
        <w:rPr>
          <w:rFonts w:hint="eastAsia"/>
          <w:sz w:val="24"/>
        </w:rPr>
        <w:t>《深圳证券交易所股票上市规则》的</w:t>
      </w:r>
      <w:r>
        <w:rPr>
          <w:rFonts w:hint="eastAsia" w:asciiTheme="minorEastAsia" w:hAnsiTheme="minorEastAsia"/>
          <w:sz w:val="24"/>
          <w:szCs w:val="24"/>
        </w:rPr>
        <w:t>相关规定，鲲鹏无限为公司的关联法人。</w:t>
      </w:r>
    </w:p>
    <w:p w14:paraId="5B88E68D">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（三）履约能力分析</w:t>
      </w:r>
    </w:p>
    <w:p w14:paraId="7DE29874">
      <w:pPr>
        <w:spacing w:line="360" w:lineRule="auto"/>
        <w:ind w:firstLine="480" w:firstLineChars="200"/>
        <w:rPr>
          <w:sz w:val="24"/>
          <w:szCs w:val="24"/>
        </w:rPr>
      </w:pPr>
      <w:r>
        <w:rPr>
          <w:rFonts w:hint="eastAsia" w:asciiTheme="minorEastAsia" w:hAnsiTheme="minorEastAsia"/>
          <w:sz w:val="24"/>
          <w:szCs w:val="24"/>
        </w:rPr>
        <w:t>鲲鹏无限</w:t>
      </w:r>
      <w:r>
        <w:rPr>
          <w:rFonts w:hint="eastAsia"/>
          <w:sz w:val="24"/>
          <w:szCs w:val="24"/>
        </w:rPr>
        <w:t>经营状况正常，经在中国执行信息公开网查询，</w:t>
      </w:r>
      <w:r>
        <w:rPr>
          <w:rFonts w:hint="eastAsia" w:asciiTheme="minorEastAsia" w:hAnsiTheme="minorEastAsia"/>
          <w:sz w:val="24"/>
          <w:szCs w:val="24"/>
        </w:rPr>
        <w:t>鲲鹏无限</w:t>
      </w:r>
      <w:r>
        <w:rPr>
          <w:rFonts w:hint="eastAsia"/>
          <w:sz w:val="24"/>
          <w:szCs w:val="24"/>
        </w:rPr>
        <w:t>不属于失信被执行人，具备履约能力。</w:t>
      </w:r>
    </w:p>
    <w:p w14:paraId="78893CB8">
      <w:pPr>
        <w:spacing w:line="360" w:lineRule="auto"/>
        <w:rPr>
          <w:sz w:val="24"/>
          <w:szCs w:val="24"/>
        </w:rPr>
      </w:pPr>
    </w:p>
    <w:p w14:paraId="042A577D">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 xml:space="preserve">三、关联交易主要内容 </w:t>
      </w:r>
    </w:p>
    <w:p w14:paraId="41180C27">
      <w:pPr>
        <w:spacing w:line="360" w:lineRule="auto"/>
        <w:ind w:firstLine="480" w:firstLineChars="200"/>
        <w:rPr>
          <w:rFonts w:asciiTheme="minorEastAsia" w:hAnsiTheme="minorEastAsia"/>
          <w:sz w:val="24"/>
          <w:szCs w:val="24"/>
        </w:rPr>
      </w:pPr>
      <w:r>
        <w:rPr>
          <w:rFonts w:hint="eastAsia"/>
          <w:sz w:val="24"/>
          <w:szCs w:val="24"/>
        </w:rPr>
        <w:t>公司</w:t>
      </w:r>
      <w:r>
        <w:rPr>
          <w:rFonts w:hint="eastAsia" w:asciiTheme="minorEastAsia" w:hAnsiTheme="minorEastAsia"/>
          <w:sz w:val="24"/>
          <w:szCs w:val="24"/>
        </w:rPr>
        <w:t>及子公司</w:t>
      </w:r>
      <w:r>
        <w:rPr>
          <w:rFonts w:hint="eastAsia"/>
          <w:sz w:val="24"/>
          <w:szCs w:val="24"/>
        </w:rPr>
        <w:t>与</w:t>
      </w:r>
      <w:r>
        <w:rPr>
          <w:rFonts w:hint="eastAsia" w:asciiTheme="minorEastAsia" w:hAnsiTheme="minorEastAsia"/>
          <w:sz w:val="24"/>
          <w:szCs w:val="24"/>
        </w:rPr>
        <w:t>鲲鹏无限</w:t>
      </w:r>
      <w:r>
        <w:rPr>
          <w:rFonts w:hint="eastAsia"/>
          <w:sz w:val="24"/>
          <w:szCs w:val="24"/>
        </w:rPr>
        <w:t>之间的业务往来按一般市场经营规则进行定价，遵循公平、公正的市场原则，以市场价格为基础协商确定，不存在损害公司和股东利益的行为。</w:t>
      </w:r>
    </w:p>
    <w:p w14:paraId="4453655C">
      <w:pPr>
        <w:spacing w:line="360" w:lineRule="auto"/>
        <w:ind w:firstLine="482" w:firstLineChars="200"/>
        <w:rPr>
          <w:rFonts w:asciiTheme="minorEastAsia" w:hAnsiTheme="minorEastAsia"/>
          <w:b/>
          <w:sz w:val="24"/>
          <w:szCs w:val="24"/>
        </w:rPr>
      </w:pPr>
    </w:p>
    <w:p w14:paraId="5BDF863B">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四、关联交易目的和对公司的影响</w:t>
      </w:r>
    </w:p>
    <w:p w14:paraId="096AE97C">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公司及子公司与鲲鹏无限的日常关联交易为公司基于目前业务发展所开展的经营行为，符合公司实际经营需求，交易价格的确定符合公平、公正的原则，交易方式符合市场规则，不存在损害公司利益的情形。但该行业竞争愈演愈烈，市场需求变化莫测，公司会谨慎预测未来销售情况，及时调整销售策略，与鲲鹏无限的日常关联交易可能不具有持续性。同时，上述日常关联交易不会对公司的独立性产生影响，公司主要业务不会因此类交易而对关联人形成依赖或者被其控制。</w:t>
      </w:r>
    </w:p>
    <w:p w14:paraId="09052989">
      <w:pPr>
        <w:spacing w:line="360" w:lineRule="auto"/>
        <w:ind w:firstLine="480" w:firstLineChars="200"/>
        <w:rPr>
          <w:rFonts w:asciiTheme="minorEastAsia" w:hAnsiTheme="minorEastAsia"/>
          <w:sz w:val="24"/>
          <w:szCs w:val="24"/>
        </w:rPr>
      </w:pPr>
    </w:p>
    <w:p w14:paraId="665A012A">
      <w:pPr>
        <w:numPr>
          <w:ilvl w:val="0"/>
          <w:numId w:val="1"/>
        </w:numPr>
        <w:spacing w:line="360" w:lineRule="auto"/>
        <w:ind w:firstLine="482" w:firstLineChars="200"/>
        <w:rPr>
          <w:rFonts w:ascii="宋体" w:hAnsi="宋体" w:eastAsia="宋体" w:cs="宋体"/>
          <w:b/>
          <w:sz w:val="24"/>
          <w:szCs w:val="24"/>
        </w:rPr>
      </w:pPr>
      <w:r>
        <w:rPr>
          <w:rFonts w:hint="eastAsia" w:asciiTheme="minorEastAsia" w:hAnsiTheme="minorEastAsia"/>
          <w:b/>
          <w:sz w:val="24"/>
          <w:szCs w:val="24"/>
        </w:rPr>
        <w:t>独</w:t>
      </w:r>
      <w:r>
        <w:rPr>
          <w:rFonts w:hint="eastAsia" w:ascii="宋体" w:hAnsi="宋体" w:eastAsia="宋体" w:cs="宋体"/>
          <w:b/>
          <w:sz w:val="24"/>
          <w:szCs w:val="24"/>
        </w:rPr>
        <w:t>立董事过半数同意意见</w:t>
      </w:r>
    </w:p>
    <w:p w14:paraId="6DA73454">
      <w:pPr>
        <w:spacing w:line="360" w:lineRule="auto"/>
        <w:ind w:firstLine="480" w:firstLineChars="200"/>
        <w:rPr>
          <w:rFonts w:asciiTheme="minorEastAsia" w:hAnsiTheme="minorEastAsia"/>
          <w:b/>
          <w:bCs/>
          <w:sz w:val="24"/>
          <w:szCs w:val="24"/>
        </w:rPr>
      </w:pPr>
      <w:r>
        <w:rPr>
          <w:rFonts w:hint="eastAsia" w:ascii="宋体" w:hAnsi="宋体" w:eastAsia="宋体" w:cs="宋体"/>
          <w:sz w:val="24"/>
          <w:szCs w:val="24"/>
        </w:rPr>
        <w:t>公司及子公司预计2025年</w:t>
      </w:r>
      <w:r>
        <w:rPr>
          <w:rFonts w:hint="eastAsia" w:ascii="宋体" w:hAnsi="宋体" w:eastAsia="宋体" w:cs="宋体"/>
          <w:sz w:val="24"/>
          <w:szCs w:val="24"/>
          <w:lang w:val="en-US" w:eastAsia="zh-CN"/>
        </w:rPr>
        <w:t>度</w:t>
      </w:r>
      <w:r>
        <w:rPr>
          <w:rFonts w:hint="eastAsia" w:ascii="宋体" w:hAnsi="宋体" w:eastAsia="宋体" w:cs="宋体"/>
          <w:sz w:val="24"/>
          <w:szCs w:val="24"/>
        </w:rPr>
        <w:t>与公司参股公司鲲鹏无限的日常关联交易事项属于公司从事生产经营活动的正常业务范围，符合公司实际经营和发展的需要，关联交易价格由交易方依据市场价格公平、合理地确定，均遵循了平等、自愿、等价、有偿的原则，不存在损害公司及股东利益的情形。因此，我们同意将该议案提交公司第五届董事会第</w:t>
      </w:r>
      <w:r>
        <w:rPr>
          <w:rFonts w:hint="eastAsia" w:ascii="宋体" w:hAnsi="宋体" w:eastAsia="宋体" w:cs="宋体"/>
          <w:sz w:val="24"/>
          <w:szCs w:val="24"/>
          <w:lang w:val="en-US" w:eastAsia="zh-CN"/>
        </w:rPr>
        <w:t>八</w:t>
      </w:r>
      <w:r>
        <w:rPr>
          <w:rFonts w:hint="eastAsia" w:ascii="宋体" w:hAnsi="宋体" w:eastAsia="宋体" w:cs="宋体"/>
          <w:sz w:val="24"/>
          <w:szCs w:val="24"/>
        </w:rPr>
        <w:t>次会议审议。</w:t>
      </w:r>
    </w:p>
    <w:p w14:paraId="1A7FE82A">
      <w:pPr>
        <w:spacing w:line="360" w:lineRule="auto"/>
        <w:ind w:firstLine="482" w:firstLineChars="200"/>
        <w:rPr>
          <w:rFonts w:asciiTheme="minorEastAsia" w:hAnsiTheme="minorEastAsia"/>
          <w:b/>
          <w:sz w:val="24"/>
          <w:szCs w:val="24"/>
        </w:rPr>
      </w:pPr>
    </w:p>
    <w:p w14:paraId="7F308597">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六、监事会意见</w:t>
      </w:r>
    </w:p>
    <w:p w14:paraId="20E69989">
      <w:pPr>
        <w:spacing w:line="360" w:lineRule="auto"/>
        <w:ind w:firstLine="480" w:firstLineChars="200"/>
        <w:rPr>
          <w:rFonts w:ascii="宋体" w:hAnsi="宋体"/>
          <w:sz w:val="24"/>
        </w:rPr>
      </w:pPr>
      <w:r>
        <w:rPr>
          <w:rFonts w:hint="eastAsia" w:asciiTheme="minorEastAsia" w:hAnsiTheme="minorEastAsia"/>
          <w:sz w:val="24"/>
          <w:szCs w:val="24"/>
        </w:rPr>
        <w:t>经审议，监事会认为：</w:t>
      </w:r>
      <w:r>
        <w:rPr>
          <w:rFonts w:hint="eastAsia" w:ascii="宋体" w:hAnsi="宋体"/>
          <w:sz w:val="24"/>
        </w:rPr>
        <w:t>公司2025年</w:t>
      </w:r>
      <w:r>
        <w:rPr>
          <w:rFonts w:hint="eastAsia" w:ascii="宋体" w:hAnsi="宋体"/>
          <w:sz w:val="24"/>
          <w:lang w:val="en-US" w:eastAsia="zh-CN"/>
        </w:rPr>
        <w:t>度</w:t>
      </w:r>
      <w:r>
        <w:rPr>
          <w:rFonts w:hint="eastAsia" w:ascii="宋体" w:hAnsi="宋体"/>
          <w:sz w:val="24"/>
        </w:rPr>
        <w:t>日常关联交易预计事项符合</w:t>
      </w:r>
      <w:r>
        <w:rPr>
          <w:rFonts w:hint="eastAsia"/>
          <w:sz w:val="24"/>
        </w:rPr>
        <w:t>《公司法》《深圳证券交易所股票上市规则》《深圳证券交易所上市公司自律监管指引第1号——主板上市公司规范运作》等法律法规和规范性文件</w:t>
      </w:r>
      <w:r>
        <w:rPr>
          <w:rFonts w:hint="eastAsia" w:ascii="宋体" w:hAnsi="宋体"/>
          <w:sz w:val="24"/>
        </w:rPr>
        <w:t>的相关规定，其决策程序符合有关法律法规和《公司章程》等规定，不存在损害公司及股东利益的情形，同意公司2025年</w:t>
      </w:r>
      <w:r>
        <w:rPr>
          <w:rFonts w:hint="eastAsia" w:ascii="宋体" w:hAnsi="宋体"/>
          <w:sz w:val="24"/>
          <w:lang w:val="en-US" w:eastAsia="zh-CN"/>
        </w:rPr>
        <w:t>度</w:t>
      </w:r>
      <w:r>
        <w:rPr>
          <w:rFonts w:hint="eastAsia" w:asciiTheme="minorEastAsia" w:hAnsiTheme="minorEastAsia"/>
          <w:sz w:val="24"/>
          <w:szCs w:val="24"/>
        </w:rPr>
        <w:t>日常关联交易预计事项</w:t>
      </w:r>
      <w:r>
        <w:rPr>
          <w:rFonts w:hint="eastAsia" w:ascii="宋体" w:hAnsi="宋体"/>
          <w:sz w:val="24"/>
        </w:rPr>
        <w:t>。</w:t>
      </w:r>
    </w:p>
    <w:p w14:paraId="76D2846E">
      <w:pPr>
        <w:spacing w:line="360" w:lineRule="auto"/>
        <w:ind w:firstLine="480" w:firstLineChars="200"/>
        <w:rPr>
          <w:rFonts w:ascii="宋体" w:hAnsi="宋体"/>
          <w:sz w:val="24"/>
        </w:rPr>
      </w:pPr>
    </w:p>
    <w:p w14:paraId="575099E5">
      <w:pPr>
        <w:spacing w:line="360" w:lineRule="auto"/>
        <w:ind w:firstLine="482" w:firstLineChars="200"/>
        <w:rPr>
          <w:rFonts w:asciiTheme="minorEastAsia" w:hAnsiTheme="minorEastAsia"/>
          <w:b/>
          <w:sz w:val="24"/>
          <w:highlight w:val="none"/>
        </w:rPr>
      </w:pPr>
      <w:r>
        <w:rPr>
          <w:rFonts w:hint="eastAsia" w:asciiTheme="minorEastAsia" w:hAnsiTheme="minorEastAsia"/>
          <w:b/>
          <w:sz w:val="24"/>
        </w:rPr>
        <w:t>七、</w:t>
      </w:r>
      <w:r>
        <w:rPr>
          <w:rFonts w:hint="eastAsia" w:ascii="Times New Roman" w:hAnsi="Times New Roman" w:eastAsia="宋体"/>
          <w:b/>
          <w:bCs/>
          <w:sz w:val="24"/>
          <w:szCs w:val="44"/>
        </w:rPr>
        <w:t>保荐</w:t>
      </w:r>
      <w:r>
        <w:rPr>
          <w:rFonts w:hint="eastAsia" w:ascii="Times New Roman" w:hAnsi="Times New Roman" w:eastAsia="宋体"/>
          <w:b/>
          <w:bCs/>
          <w:sz w:val="24"/>
          <w:szCs w:val="44"/>
          <w:highlight w:val="none"/>
        </w:rPr>
        <w:t>人核查意见</w:t>
      </w:r>
    </w:p>
    <w:p w14:paraId="743C33F0">
      <w:pPr>
        <w:spacing w:line="360" w:lineRule="auto"/>
        <w:ind w:firstLine="480" w:firstLineChars="200"/>
        <w:rPr>
          <w:rFonts w:asciiTheme="minorEastAsia" w:hAnsiTheme="minorEastAsia"/>
          <w:sz w:val="24"/>
          <w:szCs w:val="24"/>
        </w:rPr>
      </w:pPr>
      <w:r>
        <w:rPr>
          <w:rFonts w:hint="eastAsia" w:ascii="宋体" w:hAnsi="宋体"/>
          <w:sz w:val="24"/>
        </w:rPr>
        <w:t>经核查，保荐人认为：公司预计日常关联交易事项已经公司董事会、监事会审议通过，独立董事已召开专门会议对本次关联交易事项进行了审议，履行了必要的决策程序，符合有关法律法规和《公司章程》的规定；上述关联交易事项尚需提交公司股东大会审议。本保荐人对公司预计日常关联交易事项无异议。</w:t>
      </w:r>
    </w:p>
    <w:p w14:paraId="747B5E67">
      <w:pPr>
        <w:numPr>
          <w:ilvl w:val="0"/>
          <w:numId w:val="2"/>
        </w:num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 xml:space="preserve">备查文件 </w:t>
      </w:r>
    </w:p>
    <w:p w14:paraId="17151E83">
      <w:pPr>
        <w:spacing w:line="360" w:lineRule="auto"/>
        <w:ind w:firstLine="480" w:firstLineChars="200"/>
        <w:rPr>
          <w:rFonts w:asciiTheme="minorEastAsia" w:hAnsiTheme="minorEastAsia"/>
          <w:b/>
          <w:sz w:val="24"/>
          <w:szCs w:val="24"/>
        </w:rPr>
      </w:pPr>
      <w:r>
        <w:rPr>
          <w:rFonts w:hint="eastAsia" w:asciiTheme="minorEastAsia" w:hAnsiTheme="minorEastAsia"/>
          <w:sz w:val="24"/>
          <w:szCs w:val="24"/>
        </w:rPr>
        <w:t>1、</w:t>
      </w:r>
      <w:r>
        <w:rPr>
          <w:rFonts w:hint="eastAsia" w:ascii="宋体" w:hAnsi="宋体"/>
          <w:sz w:val="24"/>
        </w:rPr>
        <w:t>公司</w:t>
      </w:r>
      <w:r>
        <w:rPr>
          <w:rFonts w:hint="eastAsia" w:asciiTheme="minorEastAsia" w:hAnsiTheme="minorEastAsia"/>
          <w:sz w:val="24"/>
          <w:szCs w:val="24"/>
        </w:rPr>
        <w:t>第五届董事会第</w:t>
      </w:r>
      <w:r>
        <w:rPr>
          <w:rFonts w:hint="eastAsia" w:ascii="宋体" w:hAnsi="宋体"/>
          <w:sz w:val="24"/>
          <w:lang w:val="en-US" w:eastAsia="zh-CN"/>
        </w:rPr>
        <w:t>八</w:t>
      </w:r>
      <w:r>
        <w:rPr>
          <w:rFonts w:hint="eastAsia" w:asciiTheme="minorEastAsia" w:hAnsiTheme="minorEastAsia"/>
          <w:sz w:val="24"/>
          <w:szCs w:val="24"/>
        </w:rPr>
        <w:t>次会议决议；</w:t>
      </w:r>
    </w:p>
    <w:p w14:paraId="38ACC760">
      <w:pPr>
        <w:numPr>
          <w:ilvl w:val="255"/>
          <w:numId w:val="0"/>
        </w:numPr>
        <w:spacing w:line="360" w:lineRule="auto"/>
        <w:ind w:firstLine="472" w:firstLineChars="200"/>
        <w:contextualSpacing/>
        <w:rPr>
          <w:rFonts w:asciiTheme="minorEastAsia" w:hAnsiTheme="minorEastAsia"/>
          <w:sz w:val="24"/>
          <w:szCs w:val="24"/>
        </w:rPr>
      </w:pPr>
      <w:r>
        <w:rPr>
          <w:rFonts w:hint="eastAsia" w:ascii="宋体" w:hAnsi="宋体" w:eastAsia="宋体"/>
          <w:bCs/>
          <w:color w:val="000000"/>
          <w:spacing w:val="-2"/>
          <w:sz w:val="24"/>
        </w:rPr>
        <w:t>2、公司第五届独立董事专门会议第</w:t>
      </w:r>
      <w:r>
        <w:rPr>
          <w:rFonts w:hint="eastAsia" w:ascii="宋体" w:hAnsi="宋体" w:eastAsia="宋体"/>
          <w:bCs/>
          <w:color w:val="000000"/>
          <w:spacing w:val="-2"/>
          <w:sz w:val="24"/>
          <w:lang w:val="en-US" w:eastAsia="zh-CN"/>
        </w:rPr>
        <w:t>三</w:t>
      </w:r>
      <w:r>
        <w:rPr>
          <w:rFonts w:hint="eastAsia" w:ascii="宋体" w:hAnsi="宋体" w:eastAsia="宋体"/>
          <w:bCs/>
          <w:color w:val="000000"/>
          <w:spacing w:val="-2"/>
          <w:sz w:val="24"/>
        </w:rPr>
        <w:t>次会议决议</w:t>
      </w:r>
      <w:r>
        <w:rPr>
          <w:rFonts w:ascii="宋体" w:hAnsi="宋体" w:eastAsia="宋体"/>
          <w:bCs/>
          <w:color w:val="000000"/>
          <w:spacing w:val="-2"/>
          <w:sz w:val="24"/>
        </w:rPr>
        <w:t>；</w:t>
      </w:r>
    </w:p>
    <w:p w14:paraId="5C529F9D">
      <w:pPr>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rPr>
        <w:t>3、</w:t>
      </w:r>
      <w:r>
        <w:rPr>
          <w:rFonts w:hint="eastAsia" w:ascii="宋体" w:hAnsi="宋体"/>
          <w:sz w:val="24"/>
        </w:rPr>
        <w:t>公司</w:t>
      </w:r>
      <w:r>
        <w:rPr>
          <w:rFonts w:hint="eastAsia" w:asciiTheme="minorEastAsia" w:hAnsiTheme="minorEastAsia"/>
          <w:sz w:val="24"/>
          <w:szCs w:val="24"/>
        </w:rPr>
        <w:t>第五届监</w:t>
      </w:r>
      <w:r>
        <w:rPr>
          <w:rFonts w:hint="eastAsia" w:asciiTheme="minorEastAsia" w:hAnsiTheme="minorEastAsia"/>
          <w:sz w:val="24"/>
          <w:szCs w:val="24"/>
          <w:highlight w:val="none"/>
        </w:rPr>
        <w:t>事会第</w:t>
      </w:r>
      <w:r>
        <w:rPr>
          <w:rFonts w:hint="eastAsia" w:ascii="宋体" w:hAnsi="宋体"/>
          <w:sz w:val="24"/>
          <w:highlight w:val="none"/>
          <w:lang w:val="en-US" w:eastAsia="zh-CN"/>
        </w:rPr>
        <w:t>八</w:t>
      </w:r>
      <w:r>
        <w:rPr>
          <w:rFonts w:hint="eastAsia" w:asciiTheme="minorEastAsia" w:hAnsiTheme="minorEastAsia"/>
          <w:sz w:val="24"/>
          <w:szCs w:val="24"/>
          <w:highlight w:val="none"/>
        </w:rPr>
        <w:t>次会议决议；</w:t>
      </w:r>
    </w:p>
    <w:p w14:paraId="676890A9">
      <w:pPr>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4、国泰</w:t>
      </w:r>
      <w:r>
        <w:rPr>
          <w:rFonts w:hint="eastAsia" w:asciiTheme="minorEastAsia" w:hAnsiTheme="minorEastAsia"/>
          <w:sz w:val="24"/>
          <w:szCs w:val="24"/>
          <w:highlight w:val="none"/>
          <w:lang w:val="en-US" w:eastAsia="zh-CN"/>
        </w:rPr>
        <w:t>海通</w:t>
      </w:r>
      <w:r>
        <w:rPr>
          <w:rFonts w:hint="eastAsia" w:asciiTheme="minorEastAsia" w:hAnsiTheme="minorEastAsia"/>
          <w:sz w:val="24"/>
          <w:szCs w:val="24"/>
          <w:highlight w:val="none"/>
        </w:rPr>
        <w:t>证券股份有限公司关于东莞铭普光磁股份有限公司2025年</w:t>
      </w:r>
      <w:r>
        <w:rPr>
          <w:rFonts w:hint="eastAsia" w:asciiTheme="minorEastAsia" w:hAnsiTheme="minorEastAsia"/>
          <w:sz w:val="24"/>
          <w:szCs w:val="24"/>
          <w:highlight w:val="none"/>
          <w:lang w:val="en-US" w:eastAsia="zh-CN"/>
        </w:rPr>
        <w:t>度</w:t>
      </w:r>
      <w:r>
        <w:rPr>
          <w:rFonts w:hint="eastAsia" w:asciiTheme="minorEastAsia" w:hAnsiTheme="minorEastAsia"/>
          <w:sz w:val="24"/>
          <w:szCs w:val="24"/>
          <w:highlight w:val="none"/>
        </w:rPr>
        <w:t>日常关联交易预计的核查意见；</w:t>
      </w:r>
    </w:p>
    <w:p w14:paraId="2B8B8DF5">
      <w:pPr>
        <w:spacing w:line="360" w:lineRule="auto"/>
        <w:ind w:firstLine="480" w:firstLineChars="200"/>
        <w:rPr>
          <w:rFonts w:hint="eastAsia" w:asciiTheme="minorEastAsia" w:hAnsiTheme="minorEastAsia" w:eastAsiaTheme="minorEastAsia"/>
          <w:sz w:val="24"/>
          <w:szCs w:val="24"/>
          <w:highlight w:val="none"/>
          <w:lang w:eastAsia="zh-CN"/>
        </w:rPr>
      </w:pPr>
      <w:r>
        <w:rPr>
          <w:rFonts w:hint="eastAsia" w:asciiTheme="minorEastAsia" w:hAnsiTheme="minorEastAsia"/>
          <w:sz w:val="24"/>
          <w:szCs w:val="24"/>
          <w:highlight w:val="none"/>
        </w:rPr>
        <w:t>5、日常关联交易的协议书</w:t>
      </w:r>
      <w:r>
        <w:rPr>
          <w:rFonts w:hint="eastAsia" w:asciiTheme="minorEastAsia" w:hAnsiTheme="minorEastAsia"/>
          <w:sz w:val="24"/>
          <w:szCs w:val="24"/>
          <w:highlight w:val="none"/>
          <w:lang w:eastAsia="zh-CN"/>
        </w:rPr>
        <w:t>；</w:t>
      </w:r>
    </w:p>
    <w:p w14:paraId="6CFE16D7">
      <w:pPr>
        <w:spacing w:line="360" w:lineRule="auto"/>
        <w:ind w:firstLine="480" w:firstLineChars="200"/>
        <w:rPr>
          <w:rFonts w:hint="eastAsia"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6、</w:t>
      </w:r>
      <w:r>
        <w:rPr>
          <w:rFonts w:hint="eastAsia" w:ascii="宋体" w:hAnsi="宋体" w:cs="宋体"/>
          <w:bCs/>
          <w:sz w:val="24"/>
          <w:highlight w:val="none"/>
          <w:shd w:val="clear" w:color="auto" w:fill="FFFFFF"/>
          <w:lang w:val="en-US" w:eastAsia="zh-CN"/>
        </w:rPr>
        <w:t>关联交易情况概述表。</w:t>
      </w:r>
    </w:p>
    <w:p w14:paraId="79AAA51D">
      <w:pPr>
        <w:spacing w:line="360" w:lineRule="auto"/>
        <w:ind w:firstLine="480" w:firstLineChars="200"/>
        <w:rPr>
          <w:rFonts w:asciiTheme="minorEastAsia" w:hAnsiTheme="minorEastAsia"/>
          <w:sz w:val="24"/>
          <w:szCs w:val="24"/>
          <w:highlight w:val="none"/>
        </w:rPr>
      </w:pPr>
    </w:p>
    <w:p w14:paraId="35D8AD6A">
      <w:pPr>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特此公告。</w:t>
      </w:r>
    </w:p>
    <w:p w14:paraId="1B8DE4AA">
      <w:pPr>
        <w:spacing w:line="360" w:lineRule="auto"/>
        <w:rPr>
          <w:rFonts w:asciiTheme="minorEastAsia" w:hAnsiTheme="minorEastAsia"/>
          <w:sz w:val="24"/>
          <w:szCs w:val="24"/>
          <w:highlight w:val="none"/>
        </w:rPr>
      </w:pPr>
    </w:p>
    <w:p w14:paraId="79C4783A">
      <w:pPr>
        <w:spacing w:line="360" w:lineRule="auto"/>
        <w:rPr>
          <w:rFonts w:asciiTheme="minorEastAsia" w:hAnsiTheme="minorEastAsia"/>
          <w:sz w:val="24"/>
          <w:szCs w:val="24"/>
          <w:highlight w:val="none"/>
        </w:rPr>
      </w:pPr>
    </w:p>
    <w:p w14:paraId="7C6EFBF1">
      <w:pPr>
        <w:wordWrap w:val="0"/>
        <w:spacing w:line="360" w:lineRule="auto"/>
        <w:jc w:val="right"/>
        <w:rPr>
          <w:rFonts w:asciiTheme="minorEastAsia" w:hAnsiTheme="minorEastAsia"/>
          <w:b/>
          <w:sz w:val="24"/>
          <w:szCs w:val="24"/>
        </w:rPr>
      </w:pPr>
      <w:r>
        <w:rPr>
          <w:rFonts w:hint="eastAsia" w:asciiTheme="minorEastAsia" w:hAnsiTheme="minorEastAsia"/>
          <w:b/>
          <w:sz w:val="24"/>
          <w:szCs w:val="24"/>
        </w:rPr>
        <w:t>东莞铭普光磁股份有限公司</w:t>
      </w:r>
    </w:p>
    <w:p w14:paraId="5AFD0632">
      <w:pPr>
        <w:spacing w:line="360" w:lineRule="auto"/>
        <w:ind w:right="480"/>
        <w:jc w:val="center"/>
        <w:rPr>
          <w:rFonts w:asciiTheme="minorEastAsia" w:hAnsiTheme="minorEastAsia"/>
          <w:b/>
          <w:sz w:val="24"/>
          <w:szCs w:val="24"/>
        </w:rPr>
      </w:pPr>
      <w:r>
        <w:rPr>
          <w:rFonts w:hint="eastAsia" w:asciiTheme="minorEastAsia" w:hAnsiTheme="minorEastAsia"/>
          <w:b/>
          <w:sz w:val="24"/>
          <w:szCs w:val="24"/>
        </w:rPr>
        <w:t xml:space="preserve">                                                  董事会</w:t>
      </w:r>
    </w:p>
    <w:p w14:paraId="55763510">
      <w:pPr>
        <w:spacing w:line="360" w:lineRule="auto"/>
        <w:ind w:right="480"/>
        <w:jc w:val="right"/>
        <w:rPr>
          <w:rFonts w:asciiTheme="minorEastAsia" w:hAnsiTheme="minorEastAsia"/>
          <w:b/>
          <w:sz w:val="24"/>
          <w:szCs w:val="24"/>
        </w:rPr>
      </w:pPr>
      <w:r>
        <w:rPr>
          <w:rFonts w:hint="eastAsia" w:asciiTheme="minorEastAsia" w:hAnsiTheme="minorEastAsia"/>
          <w:b/>
          <w:sz w:val="24"/>
          <w:szCs w:val="24"/>
        </w:rPr>
        <w:t>2025年</w:t>
      </w:r>
      <w:r>
        <w:rPr>
          <w:rFonts w:hint="eastAsia" w:asciiTheme="minorEastAsia" w:hAnsiTheme="minorEastAsia"/>
          <w:b/>
          <w:sz w:val="24"/>
          <w:szCs w:val="24"/>
          <w:lang w:val="en-US" w:eastAsia="zh-CN"/>
        </w:rPr>
        <w:t>4</w:t>
      </w:r>
      <w:r>
        <w:rPr>
          <w:rFonts w:hint="eastAsia" w:asciiTheme="minorEastAsia" w:hAnsiTheme="minorEastAsia"/>
          <w:b/>
          <w:sz w:val="24"/>
          <w:szCs w:val="24"/>
        </w:rPr>
        <w:t>月</w:t>
      </w:r>
      <w:r>
        <w:rPr>
          <w:rFonts w:hint="eastAsia" w:asciiTheme="minorEastAsia" w:hAnsiTheme="minorEastAsia"/>
          <w:b/>
          <w:sz w:val="24"/>
          <w:szCs w:val="24"/>
          <w:lang w:val="en-US" w:eastAsia="zh-CN"/>
        </w:rPr>
        <w:t>22</w:t>
      </w:r>
      <w:r>
        <w:rPr>
          <w:rFonts w:hint="eastAsia" w:asciiTheme="minorEastAsia" w:hAnsiTheme="minorEastAsia"/>
          <w:b/>
          <w:sz w:val="24"/>
          <w:szCs w:val="24"/>
        </w:rPr>
        <w:t>日</w:t>
      </w:r>
    </w:p>
    <w:p w14:paraId="31803FCE">
      <w:pPr>
        <w:pStyle w:val="14"/>
        <w:ind w:left="420" w:firstLine="0" w:firstLineChars="0"/>
      </w:pPr>
    </w:p>
    <w:p w14:paraId="512BA6BD"/>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8119462"/>
    </w:sdtPr>
    <w:sdtContent>
      <w:p w14:paraId="18D5D505">
        <w:pPr>
          <w:pStyle w:val="4"/>
          <w:jc w:val="center"/>
        </w:pPr>
        <w:r>
          <w:fldChar w:fldCharType="begin"/>
        </w:r>
        <w:r>
          <w:instrText xml:space="preserve">PAGE   \* MERGEFORMAT</w:instrText>
        </w:r>
        <w:r>
          <w:fldChar w:fldCharType="separate"/>
        </w:r>
        <w:r>
          <w:rPr>
            <w:lang w:val="zh-CN"/>
          </w:rPr>
          <w:t>1</w:t>
        </w:r>
        <w:r>
          <w:fldChar w:fldCharType="end"/>
        </w:r>
      </w:p>
    </w:sdtContent>
  </w:sdt>
  <w:p w14:paraId="726B7594">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3F58"/>
    <w:multiLevelType w:val="singleLevel"/>
    <w:tmpl w:val="937E3F58"/>
    <w:lvl w:ilvl="0" w:tentative="0">
      <w:start w:val="5"/>
      <w:numFmt w:val="chineseCounting"/>
      <w:suff w:val="nothing"/>
      <w:lvlText w:val="%1、"/>
      <w:lvlJc w:val="left"/>
      <w:rPr>
        <w:rFonts w:hint="eastAsia"/>
      </w:rPr>
    </w:lvl>
  </w:abstractNum>
  <w:abstractNum w:abstractNumId="1">
    <w:nsid w:val="BB2B3EEC"/>
    <w:multiLevelType w:val="singleLevel"/>
    <w:tmpl w:val="BB2B3EEC"/>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YTg3NWQwNjJjNTRlMjI0NzU4YzM5YWIyMDkxZjYifQ=="/>
  </w:docVars>
  <w:rsids>
    <w:rsidRoot w:val="00FB3DCE"/>
    <w:rsid w:val="00006B84"/>
    <w:rsid w:val="000075F5"/>
    <w:rsid w:val="00010ED0"/>
    <w:rsid w:val="000127C6"/>
    <w:rsid w:val="000178A7"/>
    <w:rsid w:val="00017B94"/>
    <w:rsid w:val="00020A63"/>
    <w:rsid w:val="00026B6B"/>
    <w:rsid w:val="00032583"/>
    <w:rsid w:val="0005156E"/>
    <w:rsid w:val="0005704B"/>
    <w:rsid w:val="00064F47"/>
    <w:rsid w:val="00074CAD"/>
    <w:rsid w:val="000868FA"/>
    <w:rsid w:val="000A62D9"/>
    <w:rsid w:val="000A7EBB"/>
    <w:rsid w:val="000F52F2"/>
    <w:rsid w:val="000F6B1D"/>
    <w:rsid w:val="00112331"/>
    <w:rsid w:val="00114B12"/>
    <w:rsid w:val="00117907"/>
    <w:rsid w:val="00125128"/>
    <w:rsid w:val="001302B2"/>
    <w:rsid w:val="00132F60"/>
    <w:rsid w:val="00136C51"/>
    <w:rsid w:val="001427C3"/>
    <w:rsid w:val="00155149"/>
    <w:rsid w:val="001713BC"/>
    <w:rsid w:val="001764EA"/>
    <w:rsid w:val="00187220"/>
    <w:rsid w:val="001942A7"/>
    <w:rsid w:val="001A06B6"/>
    <w:rsid w:val="001D2392"/>
    <w:rsid w:val="001D28D4"/>
    <w:rsid w:val="001D67E8"/>
    <w:rsid w:val="001E1630"/>
    <w:rsid w:val="001F417D"/>
    <w:rsid w:val="001F5F1C"/>
    <w:rsid w:val="00205DA5"/>
    <w:rsid w:val="00223749"/>
    <w:rsid w:val="00241FDA"/>
    <w:rsid w:val="00274909"/>
    <w:rsid w:val="002849F5"/>
    <w:rsid w:val="002A33F8"/>
    <w:rsid w:val="002B588C"/>
    <w:rsid w:val="002C32F8"/>
    <w:rsid w:val="002C5639"/>
    <w:rsid w:val="002D677D"/>
    <w:rsid w:val="002F3301"/>
    <w:rsid w:val="002F75B0"/>
    <w:rsid w:val="003037B3"/>
    <w:rsid w:val="0030399C"/>
    <w:rsid w:val="00310339"/>
    <w:rsid w:val="0031534D"/>
    <w:rsid w:val="0032689F"/>
    <w:rsid w:val="00334C29"/>
    <w:rsid w:val="003364B9"/>
    <w:rsid w:val="003540F1"/>
    <w:rsid w:val="00361F1A"/>
    <w:rsid w:val="00363998"/>
    <w:rsid w:val="00377045"/>
    <w:rsid w:val="00387855"/>
    <w:rsid w:val="00392166"/>
    <w:rsid w:val="003A5FE1"/>
    <w:rsid w:val="003A692E"/>
    <w:rsid w:val="003B700E"/>
    <w:rsid w:val="003C4816"/>
    <w:rsid w:val="003D1C1E"/>
    <w:rsid w:val="003D539B"/>
    <w:rsid w:val="00402579"/>
    <w:rsid w:val="0040276E"/>
    <w:rsid w:val="00414D41"/>
    <w:rsid w:val="004221BE"/>
    <w:rsid w:val="004362DB"/>
    <w:rsid w:val="00443E10"/>
    <w:rsid w:val="004846F4"/>
    <w:rsid w:val="00494426"/>
    <w:rsid w:val="00496D24"/>
    <w:rsid w:val="004B1AFE"/>
    <w:rsid w:val="004C3FBA"/>
    <w:rsid w:val="004D1FB7"/>
    <w:rsid w:val="004D55F1"/>
    <w:rsid w:val="004D75EF"/>
    <w:rsid w:val="004F0339"/>
    <w:rsid w:val="004F32CD"/>
    <w:rsid w:val="004F39CD"/>
    <w:rsid w:val="004F4E1A"/>
    <w:rsid w:val="004F7CE2"/>
    <w:rsid w:val="00506931"/>
    <w:rsid w:val="00507B0E"/>
    <w:rsid w:val="0051143A"/>
    <w:rsid w:val="00527709"/>
    <w:rsid w:val="0053351B"/>
    <w:rsid w:val="005416FF"/>
    <w:rsid w:val="00547F54"/>
    <w:rsid w:val="00550944"/>
    <w:rsid w:val="00555B45"/>
    <w:rsid w:val="00563539"/>
    <w:rsid w:val="00563DD3"/>
    <w:rsid w:val="005723EA"/>
    <w:rsid w:val="00573A58"/>
    <w:rsid w:val="005A5D2E"/>
    <w:rsid w:val="005E2B76"/>
    <w:rsid w:val="005F7C9D"/>
    <w:rsid w:val="006044B8"/>
    <w:rsid w:val="00616246"/>
    <w:rsid w:val="00621CCB"/>
    <w:rsid w:val="006246A3"/>
    <w:rsid w:val="00630302"/>
    <w:rsid w:val="006355A3"/>
    <w:rsid w:val="0064130D"/>
    <w:rsid w:val="00667D79"/>
    <w:rsid w:val="00676C22"/>
    <w:rsid w:val="006A6860"/>
    <w:rsid w:val="006B6B3C"/>
    <w:rsid w:val="00706AC1"/>
    <w:rsid w:val="0072522A"/>
    <w:rsid w:val="007330BF"/>
    <w:rsid w:val="007364FA"/>
    <w:rsid w:val="007666B6"/>
    <w:rsid w:val="00774CC7"/>
    <w:rsid w:val="007754A0"/>
    <w:rsid w:val="00781358"/>
    <w:rsid w:val="00781684"/>
    <w:rsid w:val="00782D0B"/>
    <w:rsid w:val="00793D63"/>
    <w:rsid w:val="00793E15"/>
    <w:rsid w:val="007C0F64"/>
    <w:rsid w:val="007E4A2A"/>
    <w:rsid w:val="007F4FDB"/>
    <w:rsid w:val="0080307D"/>
    <w:rsid w:val="00804EAF"/>
    <w:rsid w:val="00812D16"/>
    <w:rsid w:val="00814E09"/>
    <w:rsid w:val="0082508E"/>
    <w:rsid w:val="008510ED"/>
    <w:rsid w:val="00852A92"/>
    <w:rsid w:val="0086468F"/>
    <w:rsid w:val="008B0878"/>
    <w:rsid w:val="008C2FBC"/>
    <w:rsid w:val="008D24F5"/>
    <w:rsid w:val="008F371B"/>
    <w:rsid w:val="008F448A"/>
    <w:rsid w:val="00921DA6"/>
    <w:rsid w:val="0093390E"/>
    <w:rsid w:val="009549AF"/>
    <w:rsid w:val="00957DF7"/>
    <w:rsid w:val="00964E69"/>
    <w:rsid w:val="00970232"/>
    <w:rsid w:val="009A0D0D"/>
    <w:rsid w:val="009B12DE"/>
    <w:rsid w:val="009C0E92"/>
    <w:rsid w:val="009D741F"/>
    <w:rsid w:val="00A00620"/>
    <w:rsid w:val="00A17F09"/>
    <w:rsid w:val="00A269A9"/>
    <w:rsid w:val="00A3326B"/>
    <w:rsid w:val="00A70B5F"/>
    <w:rsid w:val="00A9736D"/>
    <w:rsid w:val="00AB5837"/>
    <w:rsid w:val="00AD14A3"/>
    <w:rsid w:val="00AD58C8"/>
    <w:rsid w:val="00AD7B2E"/>
    <w:rsid w:val="00AE3DEB"/>
    <w:rsid w:val="00B32478"/>
    <w:rsid w:val="00B3670E"/>
    <w:rsid w:val="00B434BA"/>
    <w:rsid w:val="00B50386"/>
    <w:rsid w:val="00B63426"/>
    <w:rsid w:val="00B73C73"/>
    <w:rsid w:val="00B81C8B"/>
    <w:rsid w:val="00B96454"/>
    <w:rsid w:val="00BA01EC"/>
    <w:rsid w:val="00BB2BB8"/>
    <w:rsid w:val="00BB7FE5"/>
    <w:rsid w:val="00BF21AF"/>
    <w:rsid w:val="00C1530B"/>
    <w:rsid w:val="00C47B10"/>
    <w:rsid w:val="00C53CA8"/>
    <w:rsid w:val="00C75EA6"/>
    <w:rsid w:val="00C8287A"/>
    <w:rsid w:val="00C95B2F"/>
    <w:rsid w:val="00CA682E"/>
    <w:rsid w:val="00CC5023"/>
    <w:rsid w:val="00CD56E5"/>
    <w:rsid w:val="00CD611E"/>
    <w:rsid w:val="00CE2501"/>
    <w:rsid w:val="00CE6D53"/>
    <w:rsid w:val="00D04533"/>
    <w:rsid w:val="00D07432"/>
    <w:rsid w:val="00D17047"/>
    <w:rsid w:val="00D3050B"/>
    <w:rsid w:val="00D35A9B"/>
    <w:rsid w:val="00D46498"/>
    <w:rsid w:val="00D47219"/>
    <w:rsid w:val="00D660E3"/>
    <w:rsid w:val="00D75434"/>
    <w:rsid w:val="00D81A26"/>
    <w:rsid w:val="00D862EF"/>
    <w:rsid w:val="00DA20AF"/>
    <w:rsid w:val="00DB040E"/>
    <w:rsid w:val="00DB42A8"/>
    <w:rsid w:val="00DC6F75"/>
    <w:rsid w:val="00DD24F7"/>
    <w:rsid w:val="00DD3FD6"/>
    <w:rsid w:val="00DD5A50"/>
    <w:rsid w:val="00E00CE6"/>
    <w:rsid w:val="00E04058"/>
    <w:rsid w:val="00E1451F"/>
    <w:rsid w:val="00E17D79"/>
    <w:rsid w:val="00E2689C"/>
    <w:rsid w:val="00E33153"/>
    <w:rsid w:val="00E40EA4"/>
    <w:rsid w:val="00E47F54"/>
    <w:rsid w:val="00E50A83"/>
    <w:rsid w:val="00E510D8"/>
    <w:rsid w:val="00E528EC"/>
    <w:rsid w:val="00E66EE5"/>
    <w:rsid w:val="00E90306"/>
    <w:rsid w:val="00E94CF4"/>
    <w:rsid w:val="00E96F63"/>
    <w:rsid w:val="00EB52EA"/>
    <w:rsid w:val="00EC00E7"/>
    <w:rsid w:val="00EC11D2"/>
    <w:rsid w:val="00EC243D"/>
    <w:rsid w:val="00EC6892"/>
    <w:rsid w:val="00EF3AD9"/>
    <w:rsid w:val="00F21FFD"/>
    <w:rsid w:val="00F31575"/>
    <w:rsid w:val="00F35E3D"/>
    <w:rsid w:val="00F76F0F"/>
    <w:rsid w:val="00F77765"/>
    <w:rsid w:val="00F80706"/>
    <w:rsid w:val="00F852EC"/>
    <w:rsid w:val="00FA6EEF"/>
    <w:rsid w:val="00FB3DCE"/>
    <w:rsid w:val="00FC223C"/>
    <w:rsid w:val="00FD2AF7"/>
    <w:rsid w:val="00FD4CB0"/>
    <w:rsid w:val="00FD7FF6"/>
    <w:rsid w:val="00FF1912"/>
    <w:rsid w:val="03D168C0"/>
    <w:rsid w:val="04CD2920"/>
    <w:rsid w:val="05335BD0"/>
    <w:rsid w:val="06683779"/>
    <w:rsid w:val="0AFB3396"/>
    <w:rsid w:val="0B31127E"/>
    <w:rsid w:val="0D422B43"/>
    <w:rsid w:val="0E802B14"/>
    <w:rsid w:val="0ED204E2"/>
    <w:rsid w:val="10E66D4C"/>
    <w:rsid w:val="19904444"/>
    <w:rsid w:val="1CE15755"/>
    <w:rsid w:val="1D16215F"/>
    <w:rsid w:val="20832F13"/>
    <w:rsid w:val="227A7695"/>
    <w:rsid w:val="24BD7C37"/>
    <w:rsid w:val="24C3189B"/>
    <w:rsid w:val="24FD5A7C"/>
    <w:rsid w:val="25CB6F58"/>
    <w:rsid w:val="268C0CCC"/>
    <w:rsid w:val="28D64227"/>
    <w:rsid w:val="2ACA1325"/>
    <w:rsid w:val="2B617452"/>
    <w:rsid w:val="2CC17B44"/>
    <w:rsid w:val="2D077C7A"/>
    <w:rsid w:val="2FA74693"/>
    <w:rsid w:val="31B4489C"/>
    <w:rsid w:val="335525CC"/>
    <w:rsid w:val="36EF5067"/>
    <w:rsid w:val="384512B4"/>
    <w:rsid w:val="387F62CD"/>
    <w:rsid w:val="39E60BE9"/>
    <w:rsid w:val="3AD13648"/>
    <w:rsid w:val="3F0069C4"/>
    <w:rsid w:val="432401EB"/>
    <w:rsid w:val="438669F4"/>
    <w:rsid w:val="47B41366"/>
    <w:rsid w:val="48BC62F6"/>
    <w:rsid w:val="4ADD4CAD"/>
    <w:rsid w:val="4B2B55A4"/>
    <w:rsid w:val="4B9D6C99"/>
    <w:rsid w:val="5047363A"/>
    <w:rsid w:val="507973BA"/>
    <w:rsid w:val="51485BA7"/>
    <w:rsid w:val="51F93AD8"/>
    <w:rsid w:val="527870BD"/>
    <w:rsid w:val="53802875"/>
    <w:rsid w:val="54AA2151"/>
    <w:rsid w:val="55E65F52"/>
    <w:rsid w:val="55FA197D"/>
    <w:rsid w:val="58403763"/>
    <w:rsid w:val="5BBC02E4"/>
    <w:rsid w:val="5D1123FE"/>
    <w:rsid w:val="607E751E"/>
    <w:rsid w:val="63A8621C"/>
    <w:rsid w:val="64A31746"/>
    <w:rsid w:val="654B64AA"/>
    <w:rsid w:val="660364FC"/>
    <w:rsid w:val="66727DB7"/>
    <w:rsid w:val="669F2F89"/>
    <w:rsid w:val="66CB2085"/>
    <w:rsid w:val="69E63A19"/>
    <w:rsid w:val="6F6E1343"/>
    <w:rsid w:val="70A95EF1"/>
    <w:rsid w:val="71791D68"/>
    <w:rsid w:val="72637006"/>
    <w:rsid w:val="73B61F92"/>
    <w:rsid w:val="744101AD"/>
    <w:rsid w:val="757C1C41"/>
    <w:rsid w:val="76055793"/>
    <w:rsid w:val="763E4A6D"/>
    <w:rsid w:val="78915BE9"/>
    <w:rsid w:val="79CC427A"/>
    <w:rsid w:val="7B576CC3"/>
    <w:rsid w:val="7CF6426C"/>
    <w:rsid w:val="7D33654C"/>
    <w:rsid w:val="7EA41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autoRedefine/>
    <w:semiHidden/>
    <w:unhideWhenUsed/>
    <w:qFormat/>
    <w:uiPriority w:val="99"/>
    <w:pPr>
      <w:jc w:val="left"/>
    </w:pPr>
  </w:style>
  <w:style w:type="paragraph" w:styleId="3">
    <w:name w:val="Balloon Text"/>
    <w:basedOn w:val="1"/>
    <w:link w:val="16"/>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1"/>
    <w:autoRedefine/>
    <w:semiHidden/>
    <w:unhideWhenUsed/>
    <w:qFormat/>
    <w:uiPriority w:val="99"/>
    <w:rPr>
      <w:b/>
      <w:bCs/>
    </w:rPr>
  </w:style>
  <w:style w:type="table" w:styleId="8">
    <w:name w:val="Table Grid"/>
    <w:basedOn w:val="7"/>
    <w:autoRedefine/>
    <w:qFormat/>
    <w:uiPriority w:val="59"/>
    <w:rPr>
      <w:rFonts w:eastAsia="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autoRedefine/>
    <w:semiHidden/>
    <w:unhideWhenUsed/>
    <w:qFormat/>
    <w:uiPriority w:val="99"/>
    <w:rPr>
      <w:color w:val="0000FF"/>
      <w:u w:val="single"/>
    </w:rPr>
  </w:style>
  <w:style w:type="character" w:styleId="11">
    <w:name w:val="annotation reference"/>
    <w:basedOn w:val="9"/>
    <w:autoRedefine/>
    <w:semiHidden/>
    <w:unhideWhenUsed/>
    <w:qFormat/>
    <w:uiPriority w:val="99"/>
    <w:rPr>
      <w:sz w:val="21"/>
      <w:szCs w:val="21"/>
    </w:rPr>
  </w:style>
  <w:style w:type="character" w:customStyle="1" w:styleId="12">
    <w:name w:val="页眉 Char"/>
    <w:basedOn w:val="9"/>
    <w:link w:val="5"/>
    <w:autoRedefine/>
    <w:qFormat/>
    <w:uiPriority w:val="99"/>
    <w:rPr>
      <w:sz w:val="18"/>
      <w:szCs w:val="18"/>
    </w:rPr>
  </w:style>
  <w:style w:type="character" w:customStyle="1" w:styleId="13">
    <w:name w:val="页脚 Char"/>
    <w:basedOn w:val="9"/>
    <w:link w:val="4"/>
    <w:autoRedefine/>
    <w:qFormat/>
    <w:uiPriority w:val="99"/>
    <w:rPr>
      <w:sz w:val="18"/>
      <w:szCs w:val="18"/>
    </w:rPr>
  </w:style>
  <w:style w:type="paragraph" w:styleId="14">
    <w:name w:val="List Paragraph"/>
    <w:basedOn w:val="1"/>
    <w:autoRedefine/>
    <w:qFormat/>
    <w:uiPriority w:val="34"/>
    <w:pPr>
      <w:ind w:firstLine="420" w:firstLineChars="200"/>
    </w:pPr>
  </w:style>
  <w:style w:type="paragraph" w:customStyle="1" w:styleId="15">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6">
    <w:name w:val="批注框文本 Char"/>
    <w:basedOn w:val="9"/>
    <w:link w:val="3"/>
    <w:autoRedefine/>
    <w:semiHidden/>
    <w:qFormat/>
    <w:uiPriority w:val="99"/>
    <w:rPr>
      <w:sz w:val="18"/>
      <w:szCs w:val="18"/>
    </w:rPr>
  </w:style>
  <w:style w:type="paragraph" w:customStyle="1" w:styleId="17">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8">
    <w:name w:val="font21"/>
    <w:basedOn w:val="9"/>
    <w:autoRedefine/>
    <w:qFormat/>
    <w:uiPriority w:val="0"/>
    <w:rPr>
      <w:rFonts w:hint="eastAsia" w:ascii="宋体" w:hAnsi="宋体" w:eastAsia="宋体" w:cs="宋体"/>
      <w:color w:val="000000"/>
      <w:sz w:val="21"/>
      <w:szCs w:val="21"/>
      <w:u w:val="none"/>
    </w:rPr>
  </w:style>
  <w:style w:type="character" w:customStyle="1" w:styleId="19">
    <w:name w:val="font31"/>
    <w:basedOn w:val="9"/>
    <w:autoRedefine/>
    <w:qFormat/>
    <w:uiPriority w:val="0"/>
    <w:rPr>
      <w:rFonts w:hint="eastAsia" w:ascii="宋体" w:hAnsi="宋体" w:eastAsia="宋体" w:cs="宋体"/>
      <w:color w:val="000000"/>
      <w:sz w:val="21"/>
      <w:szCs w:val="21"/>
      <w:u w:val="none"/>
    </w:rPr>
  </w:style>
  <w:style w:type="character" w:customStyle="1" w:styleId="20">
    <w:name w:val="批注文字 Char"/>
    <w:basedOn w:val="9"/>
    <w:link w:val="2"/>
    <w:autoRedefine/>
    <w:semiHidden/>
    <w:qFormat/>
    <w:uiPriority w:val="99"/>
    <w:rPr>
      <w:rFonts w:asciiTheme="minorHAnsi" w:hAnsiTheme="minorHAnsi" w:eastAsiaTheme="minorEastAsia" w:cstheme="minorBidi"/>
      <w:kern w:val="2"/>
      <w:sz w:val="21"/>
      <w:szCs w:val="22"/>
    </w:rPr>
  </w:style>
  <w:style w:type="character" w:customStyle="1" w:styleId="21">
    <w:name w:val="批注主题 Char"/>
    <w:basedOn w:val="20"/>
    <w:link w:val="6"/>
    <w:autoRedefine/>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2851</Words>
  <Characters>3131</Characters>
  <Lines>20</Lines>
  <Paragraphs>5</Paragraphs>
  <TotalTime>48</TotalTime>
  <ScaleCrop>false</ScaleCrop>
  <LinksUpToDate>false</LinksUpToDate>
  <CharactersWithSpaces>3206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2020-08-14T02:25:00Z</dcterms:created>
  <dc:creator>舒丹</dc:creator>
  <cp:lastModifiedBy>WPS_477959835</cp:lastModifiedBy>
  <dcterms:modified xsi:type="dcterms:W3CDTF">2025-04-21T08:50:19Z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7AB74030FCA44B599DFA6CEFD333F98F</vt:lpwstr>
  </property>
  <property fmtid="{D5CDD505-2E9C-101B-9397-08002B2CF9AE}" pid="4" name="KSOTemplateDocerSaveRecord">
    <vt:lpwstr>eyJoZGlkIjoiODlhYmE1MzQ4NzRlYjUyNWI2Yzc4ZTAxNzZhZWFmNTciLCJ1c2VySWQiOiI0Nzc5NTk4MzUifQ==</vt:lpwstr>
  </property>
</Properties>
</file>