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8F697">
      <w:pPr>
        <w:spacing w:line="360" w:lineRule="auto"/>
        <w:rPr>
          <w:b/>
          <w:sz w:val="24"/>
          <w:szCs w:val="24"/>
        </w:rPr>
      </w:pPr>
      <w:r>
        <w:rPr>
          <w:rFonts w:hint="eastAsia"/>
          <w:b/>
          <w:sz w:val="24"/>
          <w:szCs w:val="24"/>
        </w:rPr>
        <w:t>证券代码：</w:t>
      </w:r>
      <w:r>
        <w:rPr>
          <w:rFonts w:hint="eastAsia" w:asciiTheme="minorEastAsia" w:hAnsiTheme="minorEastAsia"/>
          <w:b/>
          <w:sz w:val="24"/>
          <w:szCs w:val="24"/>
        </w:rPr>
        <w:t>002902</w:t>
      </w:r>
      <w:r>
        <w:rPr>
          <w:b/>
          <w:sz w:val="24"/>
          <w:szCs w:val="24"/>
        </w:rPr>
        <w:t xml:space="preserve">          </w:t>
      </w:r>
      <w:r>
        <w:rPr>
          <w:rFonts w:hint="eastAsia"/>
          <w:b/>
          <w:sz w:val="24"/>
          <w:szCs w:val="24"/>
        </w:rPr>
        <w:t>证券简称：铭普光磁</w:t>
      </w:r>
      <w:r>
        <w:rPr>
          <w:b/>
          <w:sz w:val="24"/>
          <w:szCs w:val="24"/>
        </w:rPr>
        <w:t xml:space="preserve">         </w:t>
      </w:r>
      <w:r>
        <w:rPr>
          <w:rFonts w:hint="eastAsia"/>
          <w:b/>
          <w:sz w:val="24"/>
          <w:szCs w:val="24"/>
        </w:rPr>
        <w:t>公告编号：</w:t>
      </w:r>
      <w:r>
        <w:rPr>
          <w:rFonts w:hint="eastAsia" w:asciiTheme="minorEastAsia" w:hAnsiTheme="minorEastAsia"/>
          <w:b/>
          <w:sz w:val="24"/>
          <w:szCs w:val="24"/>
        </w:rPr>
        <w:t>2025-037</w:t>
      </w:r>
    </w:p>
    <w:p w14:paraId="0E02078F">
      <w:pPr>
        <w:spacing w:line="360" w:lineRule="auto"/>
        <w:rPr>
          <w:sz w:val="24"/>
          <w:szCs w:val="24"/>
        </w:rPr>
      </w:pPr>
    </w:p>
    <w:p w14:paraId="2A9237E4">
      <w:pPr>
        <w:spacing w:line="360" w:lineRule="auto"/>
        <w:jc w:val="center"/>
        <w:rPr>
          <w:b/>
          <w:sz w:val="32"/>
          <w:szCs w:val="32"/>
        </w:rPr>
      </w:pPr>
      <w:r>
        <w:rPr>
          <w:rFonts w:hint="eastAsia"/>
          <w:b/>
          <w:sz w:val="32"/>
          <w:szCs w:val="32"/>
        </w:rPr>
        <w:t>东莞铭普光磁股份有限公司</w:t>
      </w:r>
    </w:p>
    <w:p w14:paraId="72FEACE1">
      <w:pPr>
        <w:spacing w:line="360" w:lineRule="auto"/>
        <w:jc w:val="center"/>
        <w:rPr>
          <w:b/>
          <w:sz w:val="32"/>
          <w:szCs w:val="32"/>
        </w:rPr>
      </w:pPr>
      <w:r>
        <w:rPr>
          <w:rFonts w:hint="eastAsia"/>
          <w:b/>
          <w:sz w:val="32"/>
          <w:szCs w:val="32"/>
        </w:rPr>
        <w:t>关于未弥补的亏损达实收股本总额三分之一的公告</w:t>
      </w:r>
    </w:p>
    <w:p w14:paraId="195F25F4">
      <w:pPr>
        <w:spacing w:line="360" w:lineRule="auto"/>
        <w:jc w:val="center"/>
        <w:rPr>
          <w:b/>
          <w:sz w:val="32"/>
          <w:szCs w:val="32"/>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tr w14:paraId="031BBD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14:paraId="09769064">
            <w:pPr>
              <w:spacing w:line="360" w:lineRule="auto"/>
              <w:ind w:firstLine="482" w:firstLineChars="200"/>
              <w:rPr>
                <w:b/>
                <w:sz w:val="24"/>
                <w:szCs w:val="24"/>
              </w:rPr>
            </w:pPr>
            <w:r>
              <w:rPr>
                <w:rFonts w:hint="eastAsia" w:ascii="宋体" w:hAnsi="宋体" w:eastAsia="宋体" w:cs="宋体"/>
                <w:b/>
                <w:sz w:val="24"/>
                <w:szCs w:val="24"/>
              </w:rPr>
              <w:t>本公司及董事会全体成员保证信息披露的内容真实、准确、完整，没有虚假记载、误导性陈述或重大遗漏。</w:t>
            </w:r>
          </w:p>
        </w:tc>
      </w:tr>
    </w:tbl>
    <w:p w14:paraId="6D703E7A"/>
    <w:p w14:paraId="61E70937">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东莞铭普光磁股份有限公司（以下简称“公司”或“铭普光磁”）于2025年4月18日召开第五届董事会第八次会议和第五届监事会第八次会议审议通过了《关于未弥补的亏损达实收股本总额三分之一的议案》，该</w:t>
      </w:r>
      <w:r>
        <w:rPr>
          <w:rFonts w:hint="eastAsia" w:asciiTheme="minorEastAsia" w:hAnsiTheme="minorEastAsia"/>
          <w:sz w:val="24"/>
          <w:szCs w:val="24"/>
          <w:lang w:val="en-US" w:eastAsia="zh-CN"/>
        </w:rPr>
        <w:t>议</w:t>
      </w:r>
      <w:r>
        <w:rPr>
          <w:rFonts w:hint="eastAsia" w:asciiTheme="minorEastAsia" w:hAnsiTheme="minorEastAsia"/>
          <w:sz w:val="24"/>
          <w:szCs w:val="24"/>
        </w:rPr>
        <w:t>案尚需提交公司2024年度股东大会审议。现将相关情况公告如下：</w:t>
      </w:r>
    </w:p>
    <w:p w14:paraId="0770E0E9">
      <w:pPr>
        <w:spacing w:line="360" w:lineRule="auto"/>
        <w:ind w:firstLine="482" w:firstLineChars="200"/>
        <w:rPr>
          <w:rFonts w:hint="eastAsia" w:asciiTheme="minorEastAsia" w:hAnsiTheme="minorEastAsia"/>
          <w:b/>
          <w:bCs/>
          <w:sz w:val="24"/>
          <w:szCs w:val="24"/>
        </w:rPr>
      </w:pPr>
      <w:bookmarkStart w:id="0" w:name="_GoBack"/>
      <w:bookmarkEnd w:id="0"/>
    </w:p>
    <w:p w14:paraId="7FBEFDBA">
      <w:pPr>
        <w:spacing w:line="360" w:lineRule="auto"/>
        <w:ind w:firstLine="482" w:firstLineChars="200"/>
        <w:jc w:val="left"/>
        <w:rPr>
          <w:rFonts w:hint="eastAsia" w:ascii="宋体" w:hAnsi="宋体" w:eastAsia="宋体" w:cs="宋体"/>
          <w:color w:val="000000"/>
          <w:sz w:val="24"/>
          <w:szCs w:val="24"/>
        </w:rPr>
      </w:pPr>
      <w:r>
        <w:rPr>
          <w:rFonts w:hint="eastAsia" w:asciiTheme="minorEastAsia" w:hAnsiTheme="minorEastAsia"/>
          <w:b/>
          <w:bCs/>
          <w:sz w:val="24"/>
          <w:szCs w:val="24"/>
        </w:rPr>
        <w:t>一</w:t>
      </w:r>
      <w:r>
        <w:rPr>
          <w:rFonts w:hint="eastAsia" w:ascii="宋体" w:hAnsi="宋体" w:eastAsia="宋体" w:cs="宋体"/>
          <w:b/>
          <w:bCs/>
          <w:sz w:val="24"/>
          <w:szCs w:val="24"/>
        </w:rPr>
        <w:t>、情况概述</w:t>
      </w:r>
    </w:p>
    <w:p w14:paraId="20DEF6B8">
      <w:pPr>
        <w:widowControl/>
        <w:spacing w:line="360" w:lineRule="auto"/>
        <w:ind w:firstLine="480" w:firstLineChars="200"/>
        <w:rPr>
          <w:rFonts w:hint="eastAsia" w:asciiTheme="minorEastAsia" w:hAnsiTheme="minorEastAsia"/>
          <w:sz w:val="24"/>
          <w:szCs w:val="24"/>
          <w:lang w:bidi="ar"/>
        </w:rPr>
      </w:pPr>
      <w:r>
        <w:rPr>
          <w:rFonts w:hint="eastAsia" w:ascii="宋体" w:hAnsi="宋体" w:eastAsia="宋体" w:cs="宋体"/>
          <w:color w:val="000000"/>
          <w:sz w:val="24"/>
          <w:szCs w:val="24"/>
        </w:rPr>
        <w:t xml:space="preserve"> 根据立信会计师事务所（特殊普通合伙）出具的信会师报字[2025]第ZI10166号报告，截至2024年12月31日，</w:t>
      </w:r>
      <w:r>
        <w:rPr>
          <w:rFonts w:hint="eastAsia" w:ascii="宋体" w:hAnsi="宋体" w:cs="宋体"/>
          <w:sz w:val="24"/>
          <w:szCs w:val="24"/>
        </w:rPr>
        <w:t>公司合并财务报表未分配利润为-19,630.98万元，实收股本总额为23,547.71万元，</w:t>
      </w:r>
      <w:r>
        <w:rPr>
          <w:rFonts w:hint="eastAsia" w:ascii="宋体" w:hAnsi="宋体" w:eastAsia="宋体" w:cs="宋体"/>
          <w:color w:val="000000"/>
          <w:sz w:val="24"/>
          <w:szCs w:val="24"/>
        </w:rPr>
        <w:t>未弥补亏损金额超过实收股本总额三分之一。</w:t>
      </w:r>
      <w:r>
        <w:rPr>
          <w:rFonts w:hint="eastAsia" w:ascii="宋体" w:hAnsi="宋体" w:eastAsia="宋体" w:cs="宋体"/>
          <w:sz w:val="24"/>
          <w:szCs w:val="24"/>
        </w:rPr>
        <w:t>根据《中华人民共和国公司法》及《公司章程》的相关规定，该事项需提交公司股东大会审议。</w:t>
      </w:r>
    </w:p>
    <w:p w14:paraId="72EB40F6">
      <w:pPr>
        <w:widowControl/>
        <w:spacing w:line="360" w:lineRule="auto"/>
        <w:ind w:firstLine="482" w:firstLineChars="200"/>
        <w:jc w:val="left"/>
        <w:rPr>
          <w:rFonts w:hint="eastAsia" w:asciiTheme="minorEastAsia" w:hAnsiTheme="minorEastAsia"/>
          <w:b/>
          <w:bCs/>
          <w:sz w:val="24"/>
          <w:szCs w:val="24"/>
          <w:lang w:bidi="ar"/>
        </w:rPr>
      </w:pPr>
    </w:p>
    <w:p w14:paraId="7D518F0E">
      <w:pPr>
        <w:widowControl/>
        <w:spacing w:line="360" w:lineRule="auto"/>
        <w:ind w:firstLine="482" w:firstLineChars="200"/>
        <w:jc w:val="left"/>
        <w:rPr>
          <w:rFonts w:hint="eastAsia" w:asciiTheme="minorEastAsia" w:hAnsiTheme="minorEastAsia"/>
          <w:b/>
          <w:bCs/>
          <w:sz w:val="24"/>
          <w:szCs w:val="24"/>
          <w:lang w:bidi="ar"/>
        </w:rPr>
      </w:pPr>
      <w:r>
        <w:rPr>
          <w:rFonts w:hint="eastAsia" w:asciiTheme="minorEastAsia" w:hAnsiTheme="minorEastAsia"/>
          <w:b/>
          <w:bCs/>
          <w:sz w:val="24"/>
          <w:szCs w:val="24"/>
          <w:lang w:bidi="ar"/>
        </w:rPr>
        <w:t>二、亏损主要原因</w:t>
      </w:r>
    </w:p>
    <w:p w14:paraId="04529800">
      <w:pPr>
        <w:widowControl/>
        <w:spacing w:line="360" w:lineRule="auto"/>
        <w:ind w:firstLine="480" w:firstLineChars="200"/>
        <w:jc w:val="left"/>
        <w:rPr>
          <w:rFonts w:hint="eastAsia" w:asciiTheme="minorEastAsia" w:hAnsiTheme="minorEastAsia"/>
          <w:sz w:val="24"/>
          <w:szCs w:val="24"/>
          <w:lang w:bidi="ar"/>
        </w:rPr>
      </w:pPr>
      <w:r>
        <w:rPr>
          <w:rFonts w:hint="eastAsia" w:asciiTheme="minorEastAsia" w:hAnsiTheme="minorEastAsia"/>
          <w:sz w:val="24"/>
          <w:szCs w:val="24"/>
          <w:lang w:bidi="ar"/>
        </w:rPr>
        <w:t>1、磁性元器件、能源类产品</w:t>
      </w:r>
    </w:p>
    <w:p w14:paraId="3DC5F175">
      <w:pPr>
        <w:widowControl/>
        <w:spacing w:line="360" w:lineRule="auto"/>
        <w:ind w:firstLine="480" w:firstLineChars="200"/>
        <w:jc w:val="left"/>
        <w:rPr>
          <w:rFonts w:hint="eastAsia" w:asciiTheme="minorEastAsia" w:hAnsiTheme="minorEastAsia"/>
          <w:sz w:val="24"/>
          <w:szCs w:val="24"/>
          <w:lang w:bidi="ar"/>
        </w:rPr>
      </w:pPr>
      <w:r>
        <w:rPr>
          <w:rFonts w:hint="eastAsia" w:asciiTheme="minorEastAsia" w:hAnsiTheme="minorEastAsia"/>
          <w:sz w:val="24"/>
          <w:szCs w:val="24"/>
          <w:lang w:bidi="ar"/>
        </w:rPr>
        <w:t>目前属于通信行业发展平缓期，行业内持续没有革命性技术出现，对磁性元器件的需求大幅收窄，为应对以上行业竞争，铭普光磁也在积极布局，放弃部分低毛利或负毛利产品把更多资源转向未来有发展的磁性元器件开发，但同时也造成营收下滑；铭普光磁未来重点发展方向之一为片式变压器，但是该产品未广泛应用于行业。在这一阶段，产品不能大批量生产，因而成本高，销售额增长缓慢，不但得不到利润，同时可能出现亏损。为进一步完善产品，公司也在不断投放研发费用，也成为利润下滑原因之一。</w:t>
      </w:r>
    </w:p>
    <w:p w14:paraId="1425CD67">
      <w:pPr>
        <w:widowControl/>
        <w:spacing w:line="360" w:lineRule="auto"/>
        <w:ind w:firstLine="480" w:firstLineChars="200"/>
        <w:jc w:val="left"/>
        <w:rPr>
          <w:rFonts w:hint="eastAsia" w:asciiTheme="minorEastAsia" w:hAnsiTheme="minorEastAsia"/>
          <w:sz w:val="24"/>
          <w:szCs w:val="24"/>
          <w:lang w:bidi="ar"/>
        </w:rPr>
      </w:pPr>
      <w:r>
        <w:rPr>
          <w:rFonts w:hint="eastAsia" w:asciiTheme="minorEastAsia" w:hAnsiTheme="minorEastAsia"/>
          <w:sz w:val="24"/>
          <w:szCs w:val="24"/>
          <w:lang w:bidi="ar"/>
        </w:rPr>
        <w:t>2、光通信产品</w:t>
      </w:r>
    </w:p>
    <w:p w14:paraId="72892C4F">
      <w:pPr>
        <w:widowControl/>
        <w:spacing w:line="360" w:lineRule="auto"/>
        <w:ind w:firstLine="480" w:firstLineChars="200"/>
        <w:jc w:val="left"/>
        <w:rPr>
          <w:rFonts w:hint="eastAsia" w:asciiTheme="minorEastAsia" w:hAnsiTheme="minorEastAsia"/>
          <w:sz w:val="24"/>
          <w:szCs w:val="24"/>
          <w:lang w:bidi="ar"/>
        </w:rPr>
      </w:pPr>
      <w:r>
        <w:rPr>
          <w:rFonts w:hint="eastAsia" w:asciiTheme="minorEastAsia" w:hAnsiTheme="minorEastAsia"/>
          <w:sz w:val="24"/>
          <w:szCs w:val="24"/>
          <w:lang w:bidi="ar"/>
        </w:rPr>
        <w:t>公司目前在积极紧张地布局光通信之数通光模块业务，在研发与产能方面提升了投资速度，但因为公司在该领域的影响力较弱，叠加数通光模块本身要求较长的测试周期，与客户接洽后难以即刻获取大批量订单形成规模效应，所以在小批量交货的模式下产品成本偏高，对盈利能力造成了一定影响。</w:t>
      </w:r>
    </w:p>
    <w:p w14:paraId="0EEA0583">
      <w:pPr>
        <w:widowControl/>
        <w:spacing w:line="360" w:lineRule="auto"/>
        <w:ind w:firstLine="480" w:firstLineChars="200"/>
        <w:jc w:val="left"/>
        <w:rPr>
          <w:rFonts w:hint="eastAsia" w:asciiTheme="minorEastAsia" w:hAnsiTheme="minorEastAsia"/>
          <w:sz w:val="24"/>
          <w:szCs w:val="24"/>
          <w:lang w:bidi="ar"/>
        </w:rPr>
      </w:pPr>
      <w:r>
        <w:rPr>
          <w:rFonts w:hint="eastAsia" w:asciiTheme="minorEastAsia" w:hAnsiTheme="minorEastAsia"/>
          <w:sz w:val="24"/>
          <w:szCs w:val="24"/>
          <w:lang w:bidi="ar"/>
        </w:rPr>
        <w:t>同时，公司为了紧抓行业发展机会，在数通光模块业务领域需要加速获取与客户合作的机会，采用了“适当调整报价让利客户，以良好的产品与服务口碑进一步拓展合作空间”这一策略。采用该策略的优势在于抢先获得行业机会，劣势为低价低毛利率造成公司盈利能力有限。</w:t>
      </w:r>
    </w:p>
    <w:p w14:paraId="6480B2A1">
      <w:pPr>
        <w:widowControl/>
        <w:spacing w:line="360" w:lineRule="auto"/>
        <w:ind w:firstLine="480" w:firstLineChars="200"/>
        <w:jc w:val="left"/>
        <w:rPr>
          <w:rFonts w:hint="eastAsia" w:asciiTheme="minorEastAsia" w:hAnsiTheme="minorEastAsia"/>
          <w:sz w:val="24"/>
          <w:szCs w:val="24"/>
          <w:lang w:bidi="ar"/>
        </w:rPr>
      </w:pPr>
      <w:r>
        <w:rPr>
          <w:rFonts w:hint="eastAsia" w:asciiTheme="minorEastAsia" w:hAnsiTheme="minorEastAsia"/>
          <w:sz w:val="24"/>
          <w:szCs w:val="24"/>
          <w:lang w:bidi="ar"/>
        </w:rPr>
        <w:t>3、电源类产品</w:t>
      </w:r>
    </w:p>
    <w:p w14:paraId="424D4E9C">
      <w:pPr>
        <w:widowControl/>
        <w:spacing w:line="360" w:lineRule="auto"/>
        <w:ind w:firstLine="480" w:firstLineChars="200"/>
        <w:jc w:val="left"/>
        <w:rPr>
          <w:rFonts w:hint="eastAsia" w:asciiTheme="minorEastAsia" w:hAnsiTheme="minorEastAsia"/>
          <w:sz w:val="24"/>
          <w:szCs w:val="24"/>
          <w:lang w:bidi="ar"/>
        </w:rPr>
      </w:pPr>
      <w:r>
        <w:rPr>
          <w:rFonts w:hint="eastAsia" w:asciiTheme="minorEastAsia" w:hAnsiTheme="minorEastAsia"/>
          <w:sz w:val="24"/>
          <w:szCs w:val="24"/>
          <w:lang w:bidi="ar"/>
        </w:rPr>
        <w:t>消费类电源产品是一个相对技术含量低、进入门槛低、行业零散的行业，这就造成了行业玩家购买者的市场地位和议价能力强，对品牌忠诚度弱。叠加全行业竞争白热化，客户强大的买方议价能力迫使铭普企业不断降低价格。</w:t>
      </w:r>
    </w:p>
    <w:p w14:paraId="1B6FF7A3">
      <w:pPr>
        <w:widowControl/>
        <w:spacing w:line="360" w:lineRule="auto"/>
        <w:ind w:firstLine="480" w:firstLineChars="200"/>
        <w:jc w:val="left"/>
        <w:rPr>
          <w:rFonts w:hint="eastAsia" w:asciiTheme="minorEastAsia" w:hAnsiTheme="minorEastAsia"/>
          <w:sz w:val="24"/>
          <w:szCs w:val="24"/>
          <w:lang w:bidi="ar"/>
        </w:rPr>
      </w:pPr>
      <w:r>
        <w:rPr>
          <w:rFonts w:hint="eastAsia" w:asciiTheme="minorEastAsia" w:hAnsiTheme="minorEastAsia"/>
          <w:sz w:val="24"/>
          <w:szCs w:val="24"/>
          <w:lang w:bidi="ar"/>
        </w:rPr>
        <w:t>4、ToC类产品</w:t>
      </w:r>
    </w:p>
    <w:p w14:paraId="57A31889">
      <w:pPr>
        <w:widowControl/>
        <w:spacing w:line="360" w:lineRule="auto"/>
        <w:ind w:firstLine="480" w:firstLineChars="200"/>
        <w:jc w:val="left"/>
        <w:rPr>
          <w:rFonts w:hint="eastAsia" w:asciiTheme="minorEastAsia" w:hAnsiTheme="minorEastAsia"/>
          <w:sz w:val="24"/>
          <w:szCs w:val="24"/>
          <w:lang w:bidi="ar"/>
        </w:rPr>
      </w:pPr>
      <w:r>
        <w:rPr>
          <w:rFonts w:hint="eastAsia" w:asciiTheme="minorEastAsia" w:hAnsiTheme="minorEastAsia"/>
          <w:sz w:val="24"/>
          <w:szCs w:val="24"/>
          <w:lang w:bidi="ar"/>
        </w:rPr>
        <w:t>公司ToC业务属于新消费、可选消费，主打产品市场渗透率有待提升，在行业发展的这个阶段，最佳的战略在于消费者认知率先植入，进行价值占位，并建立品牌和渠道，所以，公司针对ToC业务加大了营销等费用投放，目标为扩大消费市场并增加市场份额。但是，新兴产品在发展前期，面临产品营销成本高，广告费用大，但销量小成本高的问题，故造成了此板块业务属于亏损状态。</w:t>
      </w:r>
    </w:p>
    <w:p w14:paraId="7CABEC18">
      <w:pPr>
        <w:widowControl/>
        <w:spacing w:line="360" w:lineRule="auto"/>
        <w:ind w:firstLine="480" w:firstLineChars="200"/>
        <w:jc w:val="left"/>
        <w:rPr>
          <w:rFonts w:hint="eastAsia" w:asciiTheme="minorEastAsia" w:hAnsiTheme="minorEastAsia"/>
          <w:sz w:val="24"/>
          <w:szCs w:val="24"/>
          <w:lang w:bidi="ar"/>
        </w:rPr>
      </w:pPr>
    </w:p>
    <w:p w14:paraId="257DCF88">
      <w:pPr>
        <w:widowControl/>
        <w:spacing w:line="360" w:lineRule="auto"/>
        <w:ind w:firstLine="482" w:firstLineChars="200"/>
        <w:jc w:val="left"/>
        <w:rPr>
          <w:rFonts w:hint="eastAsia" w:asciiTheme="minorEastAsia" w:hAnsiTheme="minorEastAsia"/>
          <w:b/>
          <w:bCs/>
          <w:sz w:val="24"/>
          <w:szCs w:val="24"/>
          <w:lang w:bidi="ar"/>
        </w:rPr>
      </w:pPr>
      <w:r>
        <w:rPr>
          <w:rFonts w:hint="eastAsia" w:asciiTheme="minorEastAsia" w:hAnsiTheme="minorEastAsia"/>
          <w:b/>
          <w:bCs/>
          <w:sz w:val="24"/>
          <w:szCs w:val="24"/>
          <w:lang w:bidi="ar"/>
        </w:rPr>
        <w:t>三、应对措施</w:t>
      </w:r>
    </w:p>
    <w:p w14:paraId="037480BC">
      <w:pPr>
        <w:widowControl/>
        <w:numPr>
          <w:ilvl w:val="255"/>
          <w:numId w:val="0"/>
        </w:numPr>
        <w:spacing w:line="360" w:lineRule="auto"/>
        <w:ind w:firstLine="480" w:firstLineChars="200"/>
        <w:jc w:val="left"/>
        <w:rPr>
          <w:rFonts w:hint="eastAsia" w:asciiTheme="minorEastAsia" w:hAnsiTheme="minorEastAsia"/>
          <w:sz w:val="24"/>
          <w:szCs w:val="24"/>
          <w:lang w:bidi="ar"/>
        </w:rPr>
      </w:pPr>
      <w:r>
        <w:rPr>
          <w:rFonts w:hint="eastAsia" w:asciiTheme="minorEastAsia" w:hAnsiTheme="minorEastAsia"/>
          <w:sz w:val="24"/>
          <w:szCs w:val="24"/>
          <w:lang w:bidi="ar"/>
        </w:rPr>
        <w:t>1、锚定战略优先级：以核心业务为轴，聚焦高效能业务，及时调整低效能板块。</w:t>
      </w:r>
    </w:p>
    <w:p w14:paraId="1661DD52">
      <w:pPr>
        <w:widowControl/>
        <w:numPr>
          <w:ilvl w:val="255"/>
          <w:numId w:val="0"/>
        </w:numPr>
        <w:spacing w:line="360" w:lineRule="auto"/>
        <w:ind w:firstLine="480" w:firstLineChars="200"/>
        <w:jc w:val="left"/>
        <w:rPr>
          <w:rFonts w:hint="eastAsia" w:asciiTheme="minorEastAsia" w:hAnsiTheme="minorEastAsia"/>
          <w:sz w:val="24"/>
          <w:szCs w:val="24"/>
          <w:lang w:bidi="ar"/>
        </w:rPr>
      </w:pPr>
      <w:r>
        <w:rPr>
          <w:rFonts w:hint="eastAsia" w:asciiTheme="minorEastAsia" w:hAnsiTheme="minorEastAsia"/>
          <w:sz w:val="24"/>
          <w:szCs w:val="24"/>
          <w:lang w:bidi="ar"/>
        </w:rPr>
        <w:t>公司主要产品应用于通信行业不同细分领域，根据当前行业整体发展情况和公司战略能力体系，多板块业务发展确实存在资源分散的风险。所以，公司需要进一步明确战略优先级，聚焦核心业务。首先，公司应当评估现有业务的利润贡献度、竞争优势、市场地位等指标，从而识别公司核心业务，整合资源重点发展。在短期利益和长期发展的平衡下，及时削减或退出非核心业务。其次，对外分析行业发展趋势，对内盘点财务、人才、技术实力，将外部行业环境与内部资源相结合，不断优化运营策略。再次，调整组织架构以支持核心业务的发展，设计跨部门协作及激励机制，以保障各类策略的高效执行。最后，高度重视执行和持续迭代，不断聚焦核心业务的动态发展，锚定战略优先级不是一次性的工作，应当定期回顾及调整，确保核心业务始终符合公司战略与市场变化。</w:t>
      </w:r>
    </w:p>
    <w:p w14:paraId="22C71DAE">
      <w:pPr>
        <w:widowControl/>
        <w:numPr>
          <w:ilvl w:val="255"/>
          <w:numId w:val="0"/>
        </w:numPr>
        <w:spacing w:line="360" w:lineRule="auto"/>
        <w:ind w:firstLine="480" w:firstLineChars="200"/>
        <w:jc w:val="left"/>
        <w:rPr>
          <w:rFonts w:hint="eastAsia" w:asciiTheme="minorEastAsia" w:hAnsiTheme="minorEastAsia"/>
          <w:sz w:val="24"/>
          <w:szCs w:val="24"/>
          <w:lang w:bidi="ar"/>
        </w:rPr>
      </w:pPr>
      <w:r>
        <w:rPr>
          <w:rFonts w:hint="eastAsia" w:asciiTheme="minorEastAsia" w:hAnsiTheme="minorEastAsia"/>
          <w:sz w:val="24"/>
          <w:szCs w:val="24"/>
          <w:lang w:bidi="ar"/>
        </w:rPr>
        <w:t>2、构建“人X货X网”协同竞争优势：提升C端精准营销投放，增强产品定位、研发、渠道拓展能力，培养相应组织能力。</w:t>
      </w:r>
    </w:p>
    <w:p w14:paraId="06B29801">
      <w:pPr>
        <w:widowControl/>
        <w:numPr>
          <w:ilvl w:val="255"/>
          <w:numId w:val="0"/>
        </w:numPr>
        <w:spacing w:line="360" w:lineRule="auto"/>
        <w:ind w:firstLine="480" w:firstLineChars="200"/>
        <w:jc w:val="left"/>
        <w:rPr>
          <w:rFonts w:hint="eastAsia" w:asciiTheme="minorEastAsia" w:hAnsiTheme="minorEastAsia"/>
          <w:sz w:val="24"/>
          <w:szCs w:val="24"/>
          <w:lang w:bidi="ar"/>
        </w:rPr>
      </w:pPr>
      <w:r>
        <w:rPr>
          <w:rFonts w:hint="eastAsia" w:asciiTheme="minorEastAsia" w:hAnsiTheme="minorEastAsia"/>
          <w:sz w:val="24"/>
          <w:szCs w:val="24"/>
          <w:lang w:bidi="ar"/>
        </w:rPr>
        <w:t>To C端业务的广告投放与渠道费用为近些年亏损主因之一，公司将进一步优化营销策略，加强精准投放能力，在有限的资源投放下力争投放效益最大化，同时将营销管理进一步流程化、体系化，为精准营销做好铺垫工作。C端产品的研发和定位是建立市场认可度及产品竞争优势的关键因素，在产品进入市场尚未达到预期效果前，公司须持续复盘、及时止损并调整营销目标。</w:t>
      </w:r>
    </w:p>
    <w:p w14:paraId="59E1A843">
      <w:pPr>
        <w:widowControl/>
        <w:numPr>
          <w:ilvl w:val="255"/>
          <w:numId w:val="0"/>
        </w:numPr>
        <w:spacing w:line="360" w:lineRule="auto"/>
        <w:ind w:firstLine="480" w:firstLineChars="200"/>
        <w:jc w:val="left"/>
        <w:rPr>
          <w:rFonts w:hint="eastAsia" w:asciiTheme="minorEastAsia" w:hAnsiTheme="minorEastAsia"/>
          <w:sz w:val="24"/>
          <w:szCs w:val="24"/>
          <w:lang w:bidi="ar"/>
        </w:rPr>
      </w:pPr>
      <w:r>
        <w:rPr>
          <w:rFonts w:hint="eastAsia" w:asciiTheme="minorEastAsia" w:hAnsiTheme="minorEastAsia"/>
          <w:sz w:val="24"/>
          <w:szCs w:val="24"/>
          <w:lang w:bidi="ar"/>
        </w:rPr>
        <w:t>产品竞争本质是人才竞争，搭建以服务C端目标消费者为核心的组织结构，配置专业人才以提升C端的研产销以及品牌建设的综合组织能力，是公司实现To C业务初步目标的必经之路。</w:t>
      </w:r>
    </w:p>
    <w:p w14:paraId="0CBF8CFA">
      <w:pPr>
        <w:widowControl/>
        <w:numPr>
          <w:ilvl w:val="255"/>
          <w:numId w:val="0"/>
        </w:numPr>
        <w:spacing w:line="360" w:lineRule="auto"/>
        <w:ind w:firstLine="480" w:firstLineChars="200"/>
        <w:jc w:val="left"/>
        <w:rPr>
          <w:rFonts w:hint="eastAsia" w:asciiTheme="minorEastAsia" w:hAnsiTheme="minorEastAsia"/>
          <w:sz w:val="24"/>
          <w:szCs w:val="24"/>
          <w:lang w:bidi="ar"/>
        </w:rPr>
      </w:pPr>
      <w:r>
        <w:rPr>
          <w:rFonts w:hint="eastAsia" w:asciiTheme="minorEastAsia" w:hAnsiTheme="minorEastAsia"/>
          <w:sz w:val="24"/>
          <w:szCs w:val="24"/>
          <w:lang w:bidi="ar"/>
        </w:rPr>
        <w:t>3、加强公司内部管理，扎实基本功，从根本上提升核心竞争力。</w:t>
      </w:r>
    </w:p>
    <w:p w14:paraId="1AF20EF7">
      <w:pPr>
        <w:widowControl/>
        <w:numPr>
          <w:ilvl w:val="255"/>
          <w:numId w:val="0"/>
        </w:numPr>
        <w:spacing w:line="360" w:lineRule="auto"/>
        <w:ind w:firstLine="480" w:firstLineChars="200"/>
        <w:jc w:val="left"/>
        <w:rPr>
          <w:rFonts w:hint="eastAsia" w:asciiTheme="minorEastAsia" w:hAnsiTheme="minorEastAsia"/>
          <w:sz w:val="24"/>
          <w:szCs w:val="24"/>
          <w:lang w:bidi="ar"/>
        </w:rPr>
      </w:pPr>
      <w:r>
        <w:rPr>
          <w:rFonts w:hint="eastAsia" w:asciiTheme="minorEastAsia" w:hAnsiTheme="minorEastAsia"/>
          <w:sz w:val="24"/>
          <w:szCs w:val="24"/>
          <w:lang w:bidi="ar"/>
        </w:rPr>
        <w:t>在内控体系方面，随着公司的不断发展，需持续完善与健全规章制度、业务流程等各个方面，明确各部门和岗位的职责、工作流程与规范，使员工的行为有章可循。同时，定期检查制度的执行情况，确保制度的有效落实。</w:t>
      </w:r>
    </w:p>
    <w:p w14:paraId="1631CD2B">
      <w:pPr>
        <w:widowControl/>
        <w:numPr>
          <w:ilvl w:val="255"/>
          <w:numId w:val="0"/>
        </w:numPr>
        <w:spacing w:line="360" w:lineRule="auto"/>
        <w:ind w:firstLine="480" w:firstLineChars="200"/>
        <w:jc w:val="left"/>
        <w:rPr>
          <w:rFonts w:hint="eastAsia" w:asciiTheme="minorEastAsia" w:hAnsiTheme="minorEastAsia"/>
          <w:sz w:val="24"/>
          <w:szCs w:val="24"/>
          <w:lang w:bidi="ar"/>
        </w:rPr>
      </w:pPr>
      <w:r>
        <w:rPr>
          <w:rFonts w:hint="eastAsia" w:asciiTheme="minorEastAsia" w:hAnsiTheme="minorEastAsia"/>
          <w:sz w:val="24"/>
          <w:szCs w:val="24"/>
          <w:lang w:bidi="ar"/>
        </w:rPr>
        <w:t>在运作效率方面，需进一步对公司核心业务的流程进行梳理，找出其中存在的关键问题和瓶颈，进行优化和改进，以提高业务运作效率和质量。同时，利用办公自动化及其它信息技术，实现业务流程的自动化和信息化管理，提高管理的精准性和及时性。加强部门之间的协作与配合，打破部门壁垒，促进资源与数据共享，提升整体协作效率‌。</w:t>
      </w:r>
    </w:p>
    <w:p w14:paraId="5D6213CE">
      <w:pPr>
        <w:widowControl/>
        <w:numPr>
          <w:ilvl w:val="255"/>
          <w:numId w:val="0"/>
        </w:numPr>
        <w:spacing w:line="360" w:lineRule="auto"/>
        <w:ind w:firstLine="480" w:firstLineChars="200"/>
        <w:jc w:val="left"/>
        <w:rPr>
          <w:rFonts w:hint="eastAsia" w:asciiTheme="minorEastAsia" w:hAnsiTheme="minorEastAsia"/>
          <w:sz w:val="24"/>
          <w:szCs w:val="24"/>
          <w:lang w:bidi="ar"/>
        </w:rPr>
      </w:pPr>
      <w:r>
        <w:rPr>
          <w:rFonts w:hint="eastAsia" w:asciiTheme="minorEastAsia" w:hAnsiTheme="minorEastAsia"/>
          <w:sz w:val="24"/>
          <w:szCs w:val="24"/>
          <w:lang w:bidi="ar"/>
        </w:rPr>
        <w:t>在人力资源配置方面，需根据公司战略和业务需求，进行科学的岗位分析和人员规划，确保各岗位人员具备相应的能力和素质，人岗匹配。同时，制定系统的培训计划，为员工提供专业技能、管理能力等方面的培训，帮助员工成长，做好公司的人才梯队建设。最后，通过绩效考核、薪酬福利、晋升机制等激励措施，提高员工的工作效率和忠诚度，激发员工的工作积极性和创造力。</w:t>
      </w:r>
    </w:p>
    <w:p w14:paraId="615BB04B">
      <w:pPr>
        <w:spacing w:line="360" w:lineRule="auto"/>
        <w:ind w:firstLine="482" w:firstLineChars="200"/>
        <w:rPr>
          <w:rFonts w:hint="eastAsia" w:asciiTheme="minorEastAsia" w:hAnsiTheme="minorEastAsia"/>
          <w:b/>
          <w:bCs/>
          <w:sz w:val="24"/>
          <w:szCs w:val="24"/>
        </w:rPr>
      </w:pPr>
    </w:p>
    <w:p w14:paraId="22928980">
      <w:pPr>
        <w:spacing w:line="360" w:lineRule="auto"/>
        <w:ind w:firstLine="482" w:firstLineChars="200"/>
        <w:jc w:val="left"/>
        <w:rPr>
          <w:rFonts w:hint="eastAsia" w:asciiTheme="minorEastAsia" w:hAnsiTheme="minorEastAsia"/>
          <w:b/>
          <w:bCs/>
          <w:sz w:val="24"/>
          <w:szCs w:val="24"/>
        </w:rPr>
      </w:pPr>
      <w:r>
        <w:rPr>
          <w:rFonts w:hint="eastAsia" w:asciiTheme="minorEastAsia" w:hAnsiTheme="minorEastAsia"/>
          <w:b/>
          <w:bCs/>
          <w:sz w:val="24"/>
          <w:szCs w:val="24"/>
        </w:rPr>
        <w:t>四、备查文件</w:t>
      </w:r>
    </w:p>
    <w:p w14:paraId="221E5F09">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1、公司</w:t>
      </w:r>
      <w:r>
        <w:rPr>
          <w:rFonts w:asciiTheme="minorEastAsia" w:hAnsiTheme="minorEastAsia"/>
          <w:sz w:val="24"/>
          <w:szCs w:val="24"/>
        </w:rPr>
        <w:t>第</w:t>
      </w:r>
      <w:r>
        <w:rPr>
          <w:rFonts w:hint="eastAsia" w:asciiTheme="minorEastAsia" w:hAnsiTheme="minorEastAsia"/>
          <w:sz w:val="24"/>
          <w:szCs w:val="24"/>
        </w:rPr>
        <w:t>五</w:t>
      </w:r>
      <w:r>
        <w:rPr>
          <w:rFonts w:asciiTheme="minorEastAsia" w:hAnsiTheme="minorEastAsia"/>
          <w:sz w:val="24"/>
          <w:szCs w:val="24"/>
        </w:rPr>
        <w:t>届董事会第</w:t>
      </w:r>
      <w:r>
        <w:rPr>
          <w:rFonts w:hint="eastAsia" w:asciiTheme="minorEastAsia" w:hAnsiTheme="minorEastAsia"/>
          <w:sz w:val="24"/>
          <w:szCs w:val="24"/>
        </w:rPr>
        <w:t>八</w:t>
      </w:r>
      <w:r>
        <w:rPr>
          <w:rFonts w:asciiTheme="minorEastAsia" w:hAnsiTheme="minorEastAsia"/>
          <w:sz w:val="24"/>
          <w:szCs w:val="24"/>
        </w:rPr>
        <w:t xml:space="preserve">次会议决议； </w:t>
      </w:r>
    </w:p>
    <w:p w14:paraId="3369F506">
      <w:pPr>
        <w:spacing w:line="360" w:lineRule="auto"/>
        <w:ind w:firstLine="480" w:firstLineChars="200"/>
        <w:rPr>
          <w:rFonts w:hint="eastAsia" w:cs="宋体" w:asciiTheme="minorEastAsia" w:hAnsiTheme="minorEastAsia"/>
          <w:kern w:val="0"/>
          <w:sz w:val="24"/>
          <w:szCs w:val="24"/>
        </w:rPr>
      </w:pPr>
      <w:r>
        <w:rPr>
          <w:rFonts w:asciiTheme="minorEastAsia" w:hAnsiTheme="minorEastAsia"/>
          <w:sz w:val="24"/>
          <w:szCs w:val="24"/>
        </w:rPr>
        <w:t>2、</w:t>
      </w:r>
      <w:r>
        <w:rPr>
          <w:rFonts w:hint="eastAsia" w:asciiTheme="minorEastAsia" w:hAnsiTheme="minorEastAsia"/>
          <w:sz w:val="24"/>
          <w:szCs w:val="24"/>
        </w:rPr>
        <w:t>公司</w:t>
      </w:r>
      <w:r>
        <w:rPr>
          <w:rFonts w:asciiTheme="minorEastAsia" w:hAnsiTheme="minorEastAsia"/>
          <w:sz w:val="24"/>
          <w:szCs w:val="24"/>
        </w:rPr>
        <w:t>第</w:t>
      </w:r>
      <w:r>
        <w:rPr>
          <w:rFonts w:hint="eastAsia" w:asciiTheme="minorEastAsia" w:hAnsiTheme="minorEastAsia"/>
          <w:sz w:val="24"/>
          <w:szCs w:val="24"/>
        </w:rPr>
        <w:t>五</w:t>
      </w:r>
      <w:r>
        <w:rPr>
          <w:rFonts w:asciiTheme="minorEastAsia" w:hAnsiTheme="minorEastAsia"/>
          <w:sz w:val="24"/>
          <w:szCs w:val="24"/>
        </w:rPr>
        <w:t>届监事会第</w:t>
      </w:r>
      <w:r>
        <w:rPr>
          <w:rFonts w:hint="eastAsia" w:asciiTheme="minorEastAsia" w:hAnsiTheme="minorEastAsia"/>
          <w:sz w:val="24"/>
          <w:szCs w:val="24"/>
        </w:rPr>
        <w:t>八</w:t>
      </w:r>
      <w:r>
        <w:rPr>
          <w:rFonts w:asciiTheme="minorEastAsia" w:hAnsiTheme="minorEastAsia"/>
          <w:sz w:val="24"/>
          <w:szCs w:val="24"/>
        </w:rPr>
        <w:t>次会议决议</w:t>
      </w:r>
      <w:r>
        <w:rPr>
          <w:rFonts w:hint="eastAsia" w:asciiTheme="minorEastAsia" w:hAnsiTheme="minorEastAsia"/>
          <w:sz w:val="24"/>
          <w:szCs w:val="24"/>
        </w:rPr>
        <w:t>。</w:t>
      </w:r>
    </w:p>
    <w:p w14:paraId="60A860D7">
      <w:pPr>
        <w:autoSpaceDE w:val="0"/>
        <w:autoSpaceDN w:val="0"/>
        <w:adjustRightInd w:val="0"/>
        <w:spacing w:line="360" w:lineRule="auto"/>
        <w:ind w:firstLine="480" w:firstLineChars="200"/>
        <w:jc w:val="left"/>
        <w:rPr>
          <w:rFonts w:hint="eastAsia" w:cs="宋体" w:asciiTheme="minorEastAsia" w:hAnsiTheme="minorEastAsia"/>
          <w:kern w:val="0"/>
          <w:sz w:val="24"/>
          <w:szCs w:val="24"/>
        </w:rPr>
      </w:pPr>
    </w:p>
    <w:p w14:paraId="37C7CA92">
      <w:pPr>
        <w:autoSpaceDE w:val="0"/>
        <w:autoSpaceDN w:val="0"/>
        <w:adjustRightInd w:val="0"/>
        <w:spacing w:line="360" w:lineRule="auto"/>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特此公告。</w:t>
      </w:r>
    </w:p>
    <w:p w14:paraId="6792EB80">
      <w:pPr>
        <w:autoSpaceDE w:val="0"/>
        <w:autoSpaceDN w:val="0"/>
        <w:adjustRightInd w:val="0"/>
        <w:spacing w:line="360" w:lineRule="auto"/>
        <w:ind w:firstLine="5322" w:firstLineChars="2209"/>
        <w:jc w:val="left"/>
        <w:rPr>
          <w:rFonts w:hint="eastAsia" w:cs="宋体" w:asciiTheme="minorEastAsia" w:hAnsiTheme="minorEastAsia"/>
          <w:b/>
          <w:kern w:val="0"/>
          <w:sz w:val="24"/>
          <w:szCs w:val="24"/>
        </w:rPr>
      </w:pPr>
    </w:p>
    <w:p w14:paraId="49BCDDB8">
      <w:pPr>
        <w:autoSpaceDE w:val="0"/>
        <w:autoSpaceDN w:val="0"/>
        <w:adjustRightInd w:val="0"/>
        <w:spacing w:line="360" w:lineRule="auto"/>
        <w:ind w:firstLine="5322" w:firstLineChars="2209"/>
        <w:jc w:val="left"/>
        <w:rPr>
          <w:rFonts w:hint="eastAsia" w:cs="宋体" w:asciiTheme="minorEastAsia" w:hAnsiTheme="minorEastAsia"/>
          <w:b/>
          <w:kern w:val="0"/>
          <w:sz w:val="24"/>
          <w:szCs w:val="24"/>
        </w:rPr>
      </w:pPr>
    </w:p>
    <w:p w14:paraId="367A3DE4">
      <w:pPr>
        <w:autoSpaceDE w:val="0"/>
        <w:autoSpaceDN w:val="0"/>
        <w:adjustRightInd w:val="0"/>
        <w:spacing w:line="360" w:lineRule="auto"/>
        <w:ind w:firstLine="5322" w:firstLineChars="2209"/>
        <w:jc w:val="left"/>
        <w:rPr>
          <w:rFonts w:hint="eastAsia" w:cs="宋体" w:asciiTheme="minorEastAsia" w:hAnsiTheme="minorEastAsia"/>
          <w:b/>
          <w:kern w:val="0"/>
          <w:sz w:val="24"/>
          <w:szCs w:val="24"/>
        </w:rPr>
      </w:pPr>
      <w:r>
        <w:rPr>
          <w:rFonts w:hint="eastAsia" w:cs="宋体" w:asciiTheme="minorEastAsia" w:hAnsiTheme="minorEastAsia"/>
          <w:b/>
          <w:kern w:val="0"/>
          <w:sz w:val="24"/>
          <w:szCs w:val="24"/>
        </w:rPr>
        <w:t>东莞铭普光磁股份有限公司</w:t>
      </w:r>
    </w:p>
    <w:p w14:paraId="38E60C8B">
      <w:pPr>
        <w:autoSpaceDE w:val="0"/>
        <w:autoSpaceDN w:val="0"/>
        <w:adjustRightInd w:val="0"/>
        <w:spacing w:line="360" w:lineRule="auto"/>
        <w:ind w:firstLine="6375" w:firstLineChars="2646"/>
        <w:jc w:val="left"/>
        <w:rPr>
          <w:rFonts w:hint="eastAsia" w:cs="宋体" w:asciiTheme="minorEastAsia" w:hAnsiTheme="minorEastAsia"/>
          <w:b/>
          <w:kern w:val="0"/>
          <w:sz w:val="24"/>
          <w:szCs w:val="24"/>
        </w:rPr>
      </w:pPr>
      <w:r>
        <w:rPr>
          <w:rFonts w:hint="eastAsia" w:cs="宋体" w:asciiTheme="minorEastAsia" w:hAnsiTheme="minorEastAsia"/>
          <w:b/>
          <w:kern w:val="0"/>
          <w:sz w:val="24"/>
          <w:szCs w:val="24"/>
        </w:rPr>
        <w:t>董事会</w:t>
      </w:r>
    </w:p>
    <w:p w14:paraId="2522C125">
      <w:pPr>
        <w:autoSpaceDE w:val="0"/>
        <w:autoSpaceDN w:val="0"/>
        <w:adjustRightInd w:val="0"/>
        <w:spacing w:line="360" w:lineRule="auto"/>
        <w:ind w:firstLine="5910" w:firstLineChars="2453"/>
        <w:jc w:val="left"/>
        <w:rPr>
          <w:rFonts w:hint="eastAsia" w:cs="宋体" w:asciiTheme="minorEastAsia" w:hAnsiTheme="minorEastAsia"/>
          <w:kern w:val="0"/>
          <w:sz w:val="24"/>
          <w:szCs w:val="24"/>
        </w:rPr>
      </w:pPr>
      <w:r>
        <w:rPr>
          <w:rFonts w:hint="eastAsia" w:cs="宋体" w:asciiTheme="minorEastAsia" w:hAnsiTheme="minorEastAsia"/>
          <w:b/>
          <w:kern w:val="0"/>
          <w:sz w:val="24"/>
          <w:szCs w:val="24"/>
        </w:rPr>
        <w:t>2025年4月22日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1683864"/>
    </w:sdtPr>
    <w:sdtContent>
      <w:p w14:paraId="38DF1CC7">
        <w:pPr>
          <w:pStyle w:val="4"/>
          <w:jc w:val="center"/>
        </w:pPr>
        <w:r>
          <w:fldChar w:fldCharType="begin"/>
        </w:r>
        <w:r>
          <w:instrText xml:space="preserve">PAGE   \* MERGEFORMAT</w:instrText>
        </w:r>
        <w:r>
          <w:fldChar w:fldCharType="separate"/>
        </w:r>
        <w:r>
          <w:rPr>
            <w:lang w:val="zh-CN"/>
          </w:rPr>
          <w:t>1</w:t>
        </w:r>
        <w:r>
          <w:fldChar w:fldCharType="end"/>
        </w:r>
      </w:p>
    </w:sdtContent>
  </w:sdt>
  <w:p w14:paraId="292DAD2D">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YTg3NWQwNjJjNTRlMjI0NzU4YzM5YWIyMDkxZjYifQ=="/>
  </w:docVars>
  <w:rsids>
    <w:rsidRoot w:val="00172A27"/>
    <w:rsid w:val="000040C1"/>
    <w:rsid w:val="00062BF1"/>
    <w:rsid w:val="00074B3A"/>
    <w:rsid w:val="0007642D"/>
    <w:rsid w:val="00082C50"/>
    <w:rsid w:val="00091916"/>
    <w:rsid w:val="000B7AD7"/>
    <w:rsid w:val="000C4E83"/>
    <w:rsid w:val="000E0C33"/>
    <w:rsid w:val="000F6AD0"/>
    <w:rsid w:val="001075B4"/>
    <w:rsid w:val="00172A27"/>
    <w:rsid w:val="00180268"/>
    <w:rsid w:val="00195D21"/>
    <w:rsid w:val="001B2E0B"/>
    <w:rsid w:val="001C1453"/>
    <w:rsid w:val="001D1AC4"/>
    <w:rsid w:val="00222C6E"/>
    <w:rsid w:val="0022368B"/>
    <w:rsid w:val="00255BA4"/>
    <w:rsid w:val="00256DBF"/>
    <w:rsid w:val="00260C4D"/>
    <w:rsid w:val="00290D4F"/>
    <w:rsid w:val="002A72F5"/>
    <w:rsid w:val="002D3D2A"/>
    <w:rsid w:val="003005EF"/>
    <w:rsid w:val="00321980"/>
    <w:rsid w:val="00367E43"/>
    <w:rsid w:val="0038220B"/>
    <w:rsid w:val="003A0B4E"/>
    <w:rsid w:val="003B6737"/>
    <w:rsid w:val="00433EEA"/>
    <w:rsid w:val="00434D1E"/>
    <w:rsid w:val="004E0291"/>
    <w:rsid w:val="0050487F"/>
    <w:rsid w:val="005063D2"/>
    <w:rsid w:val="0050693B"/>
    <w:rsid w:val="00545452"/>
    <w:rsid w:val="00545E47"/>
    <w:rsid w:val="00552B11"/>
    <w:rsid w:val="005716E5"/>
    <w:rsid w:val="005A385D"/>
    <w:rsid w:val="005C1DCD"/>
    <w:rsid w:val="005E43F3"/>
    <w:rsid w:val="005E609C"/>
    <w:rsid w:val="005F68BD"/>
    <w:rsid w:val="00630358"/>
    <w:rsid w:val="00632E8F"/>
    <w:rsid w:val="006647E7"/>
    <w:rsid w:val="006C672C"/>
    <w:rsid w:val="006D5E4A"/>
    <w:rsid w:val="00724564"/>
    <w:rsid w:val="00747CBD"/>
    <w:rsid w:val="00766195"/>
    <w:rsid w:val="00782112"/>
    <w:rsid w:val="007910C0"/>
    <w:rsid w:val="0079644E"/>
    <w:rsid w:val="008300D0"/>
    <w:rsid w:val="0084260F"/>
    <w:rsid w:val="008442E7"/>
    <w:rsid w:val="00871F64"/>
    <w:rsid w:val="00885B21"/>
    <w:rsid w:val="008A242F"/>
    <w:rsid w:val="008A2765"/>
    <w:rsid w:val="008A2B10"/>
    <w:rsid w:val="008A7133"/>
    <w:rsid w:val="008B7232"/>
    <w:rsid w:val="008E4409"/>
    <w:rsid w:val="0090062A"/>
    <w:rsid w:val="009105B3"/>
    <w:rsid w:val="009202BD"/>
    <w:rsid w:val="0097009E"/>
    <w:rsid w:val="00982A71"/>
    <w:rsid w:val="009A2E1B"/>
    <w:rsid w:val="009A722B"/>
    <w:rsid w:val="009B5043"/>
    <w:rsid w:val="009E561D"/>
    <w:rsid w:val="00A03078"/>
    <w:rsid w:val="00A139A7"/>
    <w:rsid w:val="00A14FAD"/>
    <w:rsid w:val="00A563E8"/>
    <w:rsid w:val="00AB3B3C"/>
    <w:rsid w:val="00AF12AE"/>
    <w:rsid w:val="00B017B6"/>
    <w:rsid w:val="00B169DD"/>
    <w:rsid w:val="00B363B8"/>
    <w:rsid w:val="00B451EB"/>
    <w:rsid w:val="00B56A3F"/>
    <w:rsid w:val="00B7076B"/>
    <w:rsid w:val="00B823E1"/>
    <w:rsid w:val="00B829F6"/>
    <w:rsid w:val="00B91D0C"/>
    <w:rsid w:val="00BD276E"/>
    <w:rsid w:val="00C9406A"/>
    <w:rsid w:val="00CA7689"/>
    <w:rsid w:val="00CB10AA"/>
    <w:rsid w:val="00D0238C"/>
    <w:rsid w:val="00D31703"/>
    <w:rsid w:val="00D840DA"/>
    <w:rsid w:val="00D92990"/>
    <w:rsid w:val="00DC1775"/>
    <w:rsid w:val="00DD0807"/>
    <w:rsid w:val="00DD2D23"/>
    <w:rsid w:val="00DE66AD"/>
    <w:rsid w:val="00E0569C"/>
    <w:rsid w:val="00E118AD"/>
    <w:rsid w:val="00E21CA7"/>
    <w:rsid w:val="00E40129"/>
    <w:rsid w:val="00E45D25"/>
    <w:rsid w:val="00E65D1F"/>
    <w:rsid w:val="00EB15B6"/>
    <w:rsid w:val="00F13161"/>
    <w:rsid w:val="00F23991"/>
    <w:rsid w:val="00F35ADA"/>
    <w:rsid w:val="00F40483"/>
    <w:rsid w:val="00F4399A"/>
    <w:rsid w:val="00F45F99"/>
    <w:rsid w:val="00FA47C0"/>
    <w:rsid w:val="00FC1ECD"/>
    <w:rsid w:val="00FD43C8"/>
    <w:rsid w:val="00FE3550"/>
    <w:rsid w:val="014C7955"/>
    <w:rsid w:val="057D0C1F"/>
    <w:rsid w:val="15075D4E"/>
    <w:rsid w:val="16F2557E"/>
    <w:rsid w:val="17C675B7"/>
    <w:rsid w:val="1C1D17AC"/>
    <w:rsid w:val="1E176442"/>
    <w:rsid w:val="23D00F5B"/>
    <w:rsid w:val="29CB1809"/>
    <w:rsid w:val="2B570CD7"/>
    <w:rsid w:val="303F6496"/>
    <w:rsid w:val="378A12A8"/>
    <w:rsid w:val="3C8A5377"/>
    <w:rsid w:val="3DC814E0"/>
    <w:rsid w:val="471F1BDF"/>
    <w:rsid w:val="61450C99"/>
    <w:rsid w:val="6D8D7BD3"/>
    <w:rsid w:val="77224B96"/>
    <w:rsid w:val="78436B25"/>
    <w:rsid w:val="78646B19"/>
    <w:rsid w:val="7A415138"/>
    <w:rsid w:val="7D470155"/>
    <w:rsid w:val="7E362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59"/>
    <w:rPr>
      <w:rFonts w:eastAsia="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9">
    <w:name w:val="Emphasis"/>
    <w:basedOn w:val="8"/>
    <w:autoRedefine/>
    <w:qFormat/>
    <w:uiPriority w:val="20"/>
    <w:rPr>
      <w:i/>
      <w:iCs/>
    </w:rPr>
  </w:style>
  <w:style w:type="character" w:styleId="10">
    <w:name w:val="annotation reference"/>
    <w:basedOn w:val="8"/>
    <w:autoRedefine/>
    <w:semiHidden/>
    <w:unhideWhenUsed/>
    <w:qFormat/>
    <w:uiPriority w:val="99"/>
    <w:rPr>
      <w:sz w:val="21"/>
      <w:szCs w:val="21"/>
    </w:rPr>
  </w:style>
  <w:style w:type="paragraph" w:customStyle="1" w:styleId="11">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12">
    <w:name w:val="List Paragraph"/>
    <w:basedOn w:val="1"/>
    <w:autoRedefine/>
    <w:qFormat/>
    <w:uiPriority w:val="34"/>
    <w:pPr>
      <w:ind w:firstLine="420" w:firstLineChars="200"/>
    </w:pPr>
  </w:style>
  <w:style w:type="character" w:customStyle="1" w:styleId="13">
    <w:name w:val="页眉 字符"/>
    <w:basedOn w:val="8"/>
    <w:link w:val="5"/>
    <w:autoRedefine/>
    <w:qFormat/>
    <w:uiPriority w:val="99"/>
    <w:rPr>
      <w:sz w:val="18"/>
      <w:szCs w:val="18"/>
    </w:rPr>
  </w:style>
  <w:style w:type="character" w:customStyle="1" w:styleId="14">
    <w:name w:val="页脚 字符"/>
    <w:basedOn w:val="8"/>
    <w:link w:val="4"/>
    <w:autoRedefine/>
    <w:qFormat/>
    <w:uiPriority w:val="99"/>
    <w:rPr>
      <w:sz w:val="18"/>
      <w:szCs w:val="18"/>
    </w:rPr>
  </w:style>
  <w:style w:type="character" w:customStyle="1" w:styleId="15">
    <w:name w:val="批注框文本 字符"/>
    <w:basedOn w:val="8"/>
    <w:link w:val="3"/>
    <w:autoRedefine/>
    <w:semiHidden/>
    <w:qFormat/>
    <w:uiPriority w:val="99"/>
    <w:rPr>
      <w:sz w:val="18"/>
      <w:szCs w:val="18"/>
    </w:rPr>
  </w:style>
  <w:style w:type="paragraph" w:customStyle="1" w:styleId="16">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7">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8">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62E3D-40D7-4153-BF75-EE20F9C1DF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2345</Words>
  <Characters>2409</Characters>
  <Lines>52</Lines>
  <Paragraphs>35</Paragraphs>
  <TotalTime>30</TotalTime>
  <ScaleCrop>false</ScaleCrop>
  <LinksUpToDate>false</LinksUpToDate>
  <CharactersWithSpaces>2432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2019-02-19T08:08:00Z</dcterms:created>
  <dc:creator>舒丹</dc:creator>
  <cp:lastModifiedBy>WPS_477959835</cp:lastModifiedBy>
  <dcterms:modified xsi:type="dcterms:W3CDTF">2025-04-22T01:31:42Z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137303A220CD4FFEB08DCD87BCE403E2_12</vt:lpwstr>
  </property>
  <property fmtid="{D5CDD505-2E9C-101B-9397-08002B2CF9AE}" pid="4" name="KSOTemplateDocerSaveRecord">
    <vt:lpwstr>eyJoZGlkIjoiODlhYmE1MzQ4NzRlYjUyNWI2Yzc4ZTAxNzZhZWFmNTciLCJ1c2VySWQiOiI0Nzc5NTk4MzUifQ==</vt:lpwstr>
  </property>
</Properties>
</file>