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B5D04">
      <w:pPr>
        <w:spacing w:line="360" w:lineRule="auto"/>
        <w:rPr>
          <w:b/>
          <w:sz w:val="24"/>
          <w:szCs w:val="24"/>
        </w:rPr>
      </w:pPr>
      <w:r>
        <w:rPr>
          <w:rFonts w:hint="eastAsia"/>
          <w:b/>
          <w:sz w:val="24"/>
          <w:szCs w:val="24"/>
        </w:rPr>
        <w:t>证券代码：</w:t>
      </w:r>
      <w:r>
        <w:rPr>
          <w:rFonts w:hint="eastAsia" w:ascii="宋体" w:hAnsi="宋体"/>
          <w:b/>
          <w:sz w:val="24"/>
          <w:szCs w:val="24"/>
        </w:rPr>
        <w:t>002902</w:t>
      </w:r>
      <w:r>
        <w:rPr>
          <w:rFonts w:hint="eastAsia"/>
          <w:b/>
          <w:sz w:val="24"/>
          <w:szCs w:val="24"/>
        </w:rPr>
        <w:t xml:space="preserve">          证券简称：铭普光磁         公告编号：</w:t>
      </w:r>
      <w:r>
        <w:rPr>
          <w:rFonts w:hint="eastAsia" w:ascii="宋体" w:hAnsi="宋体"/>
          <w:b/>
          <w:sz w:val="24"/>
          <w:szCs w:val="24"/>
        </w:rPr>
        <w:t>2025-038</w:t>
      </w:r>
    </w:p>
    <w:p w14:paraId="2557CBD0">
      <w:pPr>
        <w:spacing w:line="360" w:lineRule="auto"/>
        <w:rPr>
          <w:sz w:val="24"/>
          <w:szCs w:val="24"/>
        </w:rPr>
      </w:pPr>
    </w:p>
    <w:p w14:paraId="6553CC00">
      <w:pPr>
        <w:spacing w:line="360" w:lineRule="auto"/>
        <w:jc w:val="center"/>
        <w:rPr>
          <w:b/>
          <w:sz w:val="32"/>
          <w:szCs w:val="32"/>
        </w:rPr>
      </w:pPr>
      <w:r>
        <w:rPr>
          <w:rFonts w:hint="eastAsia"/>
          <w:b/>
          <w:sz w:val="32"/>
          <w:szCs w:val="32"/>
        </w:rPr>
        <w:t>东莞铭普光磁股份有限公司</w:t>
      </w:r>
    </w:p>
    <w:p w14:paraId="3184AB25">
      <w:pPr>
        <w:spacing w:line="360" w:lineRule="auto"/>
        <w:jc w:val="center"/>
        <w:rPr>
          <w:b/>
          <w:sz w:val="32"/>
          <w:szCs w:val="32"/>
        </w:rPr>
      </w:pPr>
      <w:r>
        <w:rPr>
          <w:rFonts w:hint="eastAsia"/>
          <w:b/>
          <w:sz w:val="32"/>
          <w:szCs w:val="32"/>
        </w:rPr>
        <w:t>关于部分募集资金投资项目延期的公告</w:t>
      </w:r>
    </w:p>
    <w:p w14:paraId="32B869F4">
      <w:pPr>
        <w:spacing w:line="360" w:lineRule="auto"/>
        <w:jc w:val="center"/>
        <w:rPr>
          <w:b/>
          <w:sz w:val="32"/>
          <w:szCs w:val="32"/>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C93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2B1AB1E9">
            <w:pPr>
              <w:spacing w:line="360" w:lineRule="auto"/>
              <w:ind w:firstLine="482" w:firstLineChars="200"/>
              <w:rPr>
                <w:b/>
                <w:sz w:val="24"/>
                <w:szCs w:val="24"/>
              </w:rPr>
            </w:pPr>
            <w:r>
              <w:rPr>
                <w:b/>
                <w:sz w:val="24"/>
                <w:szCs w:val="24"/>
              </w:rPr>
              <w:t>本公司及董事会全体成员保证信息披露的内容真实、准确、完整，没有虚假记载、误导性陈述或重大遗漏。</w:t>
            </w:r>
          </w:p>
        </w:tc>
      </w:tr>
    </w:tbl>
    <w:p w14:paraId="76347B92">
      <w:pPr>
        <w:autoSpaceDE w:val="0"/>
        <w:autoSpaceDN w:val="0"/>
        <w:adjustRightInd w:val="0"/>
        <w:jc w:val="left"/>
        <w:rPr>
          <w:rFonts w:ascii="宋体" w:cs="宋体"/>
          <w:kern w:val="0"/>
          <w:sz w:val="24"/>
          <w:szCs w:val="24"/>
        </w:rPr>
      </w:pPr>
    </w:p>
    <w:p w14:paraId="4330DC9B">
      <w:pPr>
        <w:spacing w:line="360" w:lineRule="auto"/>
        <w:ind w:firstLine="480" w:firstLineChars="200"/>
        <w:rPr>
          <w:rFonts w:ascii="宋体" w:cs="宋体"/>
          <w:kern w:val="0"/>
          <w:sz w:val="24"/>
          <w:szCs w:val="24"/>
        </w:rPr>
      </w:pPr>
      <w:r>
        <w:rPr>
          <w:rFonts w:hint="eastAsia"/>
          <w:sz w:val="24"/>
          <w:szCs w:val="24"/>
        </w:rPr>
        <w:t>东莞铭普光磁股份有限公司（以下简称“公司”</w:t>
      </w:r>
      <w:r>
        <w:rPr>
          <w:rFonts w:hint="eastAsia" w:ascii="宋体" w:hAnsi="宋体" w:cs="宋体"/>
          <w:sz w:val="24"/>
          <w:szCs w:val="24"/>
        </w:rPr>
        <w:t>）于2025年4月18日</w:t>
      </w:r>
      <w:r>
        <w:rPr>
          <w:rFonts w:hint="eastAsia"/>
          <w:sz w:val="24"/>
          <w:szCs w:val="24"/>
        </w:rPr>
        <w:t>召开第五届董事会第八次会议和第五届监事会第八次会议，审议通过了《关于部分募集资金投资项目延期的议案</w:t>
      </w:r>
      <w:r>
        <w:rPr>
          <w:rFonts w:hint="eastAsia" w:ascii="宋体" w:hAnsi="宋体" w:cs="宋体"/>
          <w:sz w:val="24"/>
          <w:szCs w:val="24"/>
        </w:rPr>
        <w:t>》，同意公司将“光伏储能和片式通信磁性元器件智能制造项目”预计可使用状态日期延长至2026年6月30日。本次募集资金投资项目延期事项在公司董事会的审批权限范围内，无需提交股东大会审议。</w:t>
      </w:r>
      <w:r>
        <w:rPr>
          <w:rFonts w:hint="eastAsia" w:ascii="宋体" w:hAnsi="宋体" w:cs="宋体"/>
          <w:kern w:val="0"/>
          <w:sz w:val="24"/>
          <w:szCs w:val="24"/>
        </w:rPr>
        <w:t>现将有关事</w:t>
      </w:r>
      <w:r>
        <w:rPr>
          <w:rFonts w:hint="eastAsia" w:ascii="宋体" w:cs="宋体"/>
          <w:kern w:val="0"/>
          <w:sz w:val="24"/>
          <w:szCs w:val="24"/>
        </w:rPr>
        <w:t>项公告如下：</w:t>
      </w:r>
    </w:p>
    <w:p w14:paraId="6EC0C3EB">
      <w:pPr>
        <w:spacing w:line="360" w:lineRule="auto"/>
        <w:ind w:firstLine="480" w:firstLineChars="200"/>
        <w:rPr>
          <w:rFonts w:ascii="宋体" w:cs="宋体"/>
          <w:kern w:val="0"/>
          <w:sz w:val="24"/>
          <w:szCs w:val="24"/>
        </w:rPr>
      </w:pPr>
    </w:p>
    <w:p w14:paraId="037983BC">
      <w:pPr>
        <w:numPr>
          <w:ilvl w:val="0"/>
          <w:numId w:val="1"/>
        </w:numPr>
        <w:spacing w:line="360" w:lineRule="auto"/>
        <w:ind w:firstLine="472" w:firstLineChars="196"/>
        <w:rPr>
          <w:b/>
          <w:sz w:val="24"/>
        </w:rPr>
      </w:pPr>
      <w:r>
        <w:rPr>
          <w:rFonts w:hint="eastAsia"/>
          <w:b/>
          <w:sz w:val="24"/>
        </w:rPr>
        <w:t>募集资金基本情况</w:t>
      </w:r>
    </w:p>
    <w:p w14:paraId="670078BD">
      <w:pPr>
        <w:spacing w:line="360" w:lineRule="auto"/>
        <w:ind w:firstLine="480" w:firstLineChars="200"/>
        <w:rPr>
          <w:rFonts w:hint="eastAsia" w:ascii="宋体" w:hAnsi="宋体" w:cs="宋体"/>
          <w:bCs/>
          <w:sz w:val="24"/>
        </w:rPr>
      </w:pPr>
      <w:r>
        <w:rPr>
          <w:rFonts w:hint="eastAsia" w:ascii="宋体" w:hAnsi="宋体" w:cs="宋体"/>
          <w:bCs/>
          <w:sz w:val="24"/>
        </w:rPr>
        <w:t>经中国证券监督管理委员会《关于同意东莞铭普光磁股份有限公司向特定对象发行股票注册的批复》（证监许可〔2023〕1513号）同意，公司向特定对象发行A股股票数量23,626,062股，每股面值1.00元，发行价格为17.65元/股，募集资金总额为416,999,994.30元。扣除各项发行费用9,405,307.13元（不含税）后，募集资金净额为407,594,687.17元。上述募集资金已于2024年3月4日划至公司指定账户，经立信会计师事务所（特殊普通合伙）进行了审验，并于2024年3月5日出具信会师报字[2024]第ZI10025号《验资报告》。募集资金到账后，公司按照规定全部存放于募集资金专项账户内，公司及子公司、保荐人、存放募集资金的商业银行签订募集资金三方或四方监管协议，对募集资金的存放和使用进行专户管理。</w:t>
      </w:r>
    </w:p>
    <w:p w14:paraId="6DE9D880">
      <w:pPr>
        <w:spacing w:line="360" w:lineRule="auto"/>
        <w:ind w:firstLine="482" w:firstLineChars="200"/>
        <w:rPr>
          <w:b/>
          <w:sz w:val="24"/>
        </w:rPr>
      </w:pPr>
    </w:p>
    <w:p w14:paraId="39D607F0">
      <w:pPr>
        <w:spacing w:line="360" w:lineRule="auto"/>
        <w:ind w:firstLine="482" w:firstLineChars="200"/>
        <w:rPr>
          <w:bCs/>
          <w:sz w:val="24"/>
        </w:rPr>
      </w:pPr>
      <w:r>
        <w:rPr>
          <w:rFonts w:hint="eastAsia"/>
          <w:b/>
          <w:sz w:val="24"/>
        </w:rPr>
        <w:t>二、募集资金投资项目金额的基本情况</w:t>
      </w:r>
    </w:p>
    <w:p w14:paraId="380F524F">
      <w:pPr>
        <w:pStyle w:val="17"/>
        <w:adjustRightInd/>
        <w:spacing w:line="360" w:lineRule="auto"/>
        <w:ind w:firstLine="480" w:firstLineChars="200"/>
        <w:jc w:val="both"/>
        <w:rPr>
          <w:rFonts w:hint="eastAsia" w:hAnsi="宋体"/>
        </w:rPr>
      </w:pPr>
      <w:r>
        <w:rPr>
          <w:rFonts w:hint="eastAsia" w:hAnsi="宋体"/>
        </w:rPr>
        <w:t>根据《东莞铭普光磁股份有限公司向特定对象发行A股股票募集</w:t>
      </w:r>
      <w:r>
        <w:rPr>
          <w:rFonts w:hAnsi="宋体"/>
        </w:rPr>
        <w:t>说明书</w:t>
      </w:r>
      <w:r>
        <w:rPr>
          <w:rFonts w:hint="eastAsia" w:hAnsi="宋体"/>
        </w:rPr>
        <w:t>》及公司</w:t>
      </w:r>
      <w:r>
        <w:rPr>
          <w:rFonts w:hint="eastAsia" w:ascii="宋体" w:hAnsi="宋体" w:cs="宋体"/>
        </w:rPr>
        <w:t>于2024年3月20日召开第四届董事会第三十四次会议和第四届监事会第三十二次会议，审议通过了《关于调整部分募投项目拟投入募集资金金额的议案》；公司分别于2024年9月25日召开第五届董事会第三次会议、第五届监事会第三次会议，于2024年10月14日召开2024年第二次</w:t>
      </w:r>
      <w:r>
        <w:rPr>
          <w:rFonts w:hint="eastAsia" w:hAnsi="宋体"/>
        </w:rPr>
        <w:t>临时股东大会，审议通过了《关于变更部分募集资金用途的议案》。经过上述调整后，公司向特定对象发行A股股票募集资金的投资项目情况如下：</w:t>
      </w:r>
    </w:p>
    <w:p w14:paraId="7FDE9B48">
      <w:pPr>
        <w:spacing w:line="360" w:lineRule="auto"/>
        <w:jc w:val="right"/>
        <w:rPr>
          <w:rFonts w:hint="eastAsia" w:ascii="宋体" w:hAnsi="宋体"/>
          <w:sz w:val="24"/>
        </w:rPr>
      </w:pPr>
      <w:r>
        <w:rPr>
          <w:rFonts w:hint="eastAsia" w:ascii="宋体" w:hAnsi="宋体"/>
          <w:sz w:val="24"/>
        </w:rPr>
        <w:t>单位：万元</w:t>
      </w:r>
    </w:p>
    <w:tbl>
      <w:tblPr>
        <w:tblStyle w:val="7"/>
        <w:tblW w:w="50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298"/>
        <w:gridCol w:w="1313"/>
        <w:gridCol w:w="1444"/>
        <w:gridCol w:w="1444"/>
        <w:gridCol w:w="1573"/>
      </w:tblGrid>
      <w:tr w14:paraId="77AE4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25" w:type="dxa"/>
            <w:vAlign w:val="center"/>
          </w:tcPr>
          <w:p w14:paraId="090AE23E">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序号</w:t>
            </w:r>
          </w:p>
        </w:tc>
        <w:tc>
          <w:tcPr>
            <w:tcW w:w="2298" w:type="dxa"/>
            <w:vAlign w:val="center"/>
          </w:tcPr>
          <w:p w14:paraId="4BA58442">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项目名称</w:t>
            </w:r>
          </w:p>
        </w:tc>
        <w:tc>
          <w:tcPr>
            <w:tcW w:w="1313" w:type="dxa"/>
            <w:vAlign w:val="center"/>
          </w:tcPr>
          <w:p w14:paraId="234D861D">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总投资金额</w:t>
            </w:r>
          </w:p>
        </w:tc>
        <w:tc>
          <w:tcPr>
            <w:tcW w:w="1444" w:type="dxa"/>
            <w:vAlign w:val="center"/>
          </w:tcPr>
          <w:p w14:paraId="51639E76">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募集说明书计划投入募集资金</w:t>
            </w:r>
          </w:p>
        </w:tc>
        <w:tc>
          <w:tcPr>
            <w:tcW w:w="1444" w:type="dxa"/>
            <w:vAlign w:val="center"/>
          </w:tcPr>
          <w:p w14:paraId="3877593C">
            <w:pPr>
              <w:pStyle w:val="22"/>
              <w:spacing w:line="240" w:lineRule="auto"/>
              <w:ind w:firstLine="0" w:firstLineChars="0"/>
              <w:jc w:val="center"/>
              <w:rPr>
                <w:rFonts w:hint="eastAsia" w:ascii="宋体" w:hAnsi="宋体"/>
                <w:b/>
                <w:bCs/>
                <w:sz w:val="21"/>
                <w:szCs w:val="21"/>
                <w:lang w:val="zh-CN"/>
              </w:rPr>
            </w:pPr>
            <w:r>
              <w:rPr>
                <w:rStyle w:val="19"/>
                <w:rFonts w:hint="default"/>
                <w:lang w:bidi="ar"/>
              </w:rPr>
              <w:t>调整后拟使用募集资金</w:t>
            </w:r>
          </w:p>
        </w:tc>
        <w:tc>
          <w:tcPr>
            <w:tcW w:w="1573" w:type="dxa"/>
            <w:vAlign w:val="center"/>
          </w:tcPr>
          <w:p w14:paraId="04A9B633">
            <w:pPr>
              <w:pStyle w:val="22"/>
              <w:spacing w:line="240" w:lineRule="auto"/>
              <w:ind w:firstLine="0" w:firstLineChars="0"/>
              <w:jc w:val="center"/>
              <w:rPr>
                <w:rStyle w:val="19"/>
                <w:rFonts w:hint="default"/>
                <w:lang w:bidi="ar"/>
              </w:rPr>
            </w:pPr>
            <w:r>
              <w:rPr>
                <w:rStyle w:val="19"/>
                <w:lang w:bidi="ar"/>
              </w:rPr>
              <w:t>变更后</w:t>
            </w:r>
            <w:r>
              <w:rPr>
                <w:rStyle w:val="19"/>
                <w:rFonts w:hint="default"/>
                <w:lang w:bidi="ar"/>
              </w:rPr>
              <w:t>拟使用募集资金</w:t>
            </w:r>
          </w:p>
        </w:tc>
      </w:tr>
      <w:tr w14:paraId="37CA5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25" w:type="dxa"/>
            <w:vAlign w:val="center"/>
          </w:tcPr>
          <w:p w14:paraId="57DF37C2">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1</w:t>
            </w:r>
          </w:p>
        </w:tc>
        <w:tc>
          <w:tcPr>
            <w:tcW w:w="2298" w:type="dxa"/>
            <w:vAlign w:val="center"/>
          </w:tcPr>
          <w:p w14:paraId="3FD7FF32">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光伏储能和片式通信磁性元器件智能制造项目</w:t>
            </w:r>
          </w:p>
        </w:tc>
        <w:tc>
          <w:tcPr>
            <w:tcW w:w="1313" w:type="dxa"/>
            <w:vAlign w:val="center"/>
          </w:tcPr>
          <w:p w14:paraId="76B044E3">
            <w:pPr>
              <w:widowControl/>
              <w:adjustRightInd w:val="0"/>
              <w:snapToGrid w:val="0"/>
              <w:jc w:val="right"/>
              <w:rPr>
                <w:bCs/>
                <w:kern w:val="0"/>
                <w:szCs w:val="21"/>
                <w:lang w:val="zh-CN"/>
              </w:rPr>
            </w:pPr>
            <w:r>
              <w:rPr>
                <w:rFonts w:hint="eastAsia"/>
                <w:bCs/>
                <w:kern w:val="0"/>
                <w:szCs w:val="21"/>
                <w:lang w:val="zh-CN"/>
              </w:rPr>
              <w:t>27,693.85</w:t>
            </w:r>
          </w:p>
        </w:tc>
        <w:tc>
          <w:tcPr>
            <w:tcW w:w="1444" w:type="dxa"/>
            <w:vAlign w:val="center"/>
          </w:tcPr>
          <w:p w14:paraId="55C28A75">
            <w:pPr>
              <w:widowControl/>
              <w:adjustRightInd w:val="0"/>
              <w:snapToGrid w:val="0"/>
              <w:jc w:val="right"/>
              <w:rPr>
                <w:bCs/>
                <w:kern w:val="0"/>
                <w:szCs w:val="21"/>
                <w:lang w:val="zh-CN"/>
              </w:rPr>
            </w:pPr>
            <w:r>
              <w:rPr>
                <w:rFonts w:hint="eastAsia"/>
                <w:bCs/>
                <w:kern w:val="0"/>
                <w:szCs w:val="21"/>
                <w:lang w:val="zh-CN"/>
              </w:rPr>
              <w:t>22,900.00</w:t>
            </w:r>
          </w:p>
        </w:tc>
        <w:tc>
          <w:tcPr>
            <w:tcW w:w="1444" w:type="dxa"/>
            <w:vAlign w:val="center"/>
          </w:tcPr>
          <w:p w14:paraId="58FEB98F">
            <w:pPr>
              <w:widowControl/>
              <w:adjustRightInd w:val="0"/>
              <w:snapToGrid w:val="0"/>
              <w:jc w:val="right"/>
              <w:rPr>
                <w:bCs/>
                <w:kern w:val="0"/>
                <w:szCs w:val="21"/>
                <w:lang w:val="zh-CN"/>
              </w:rPr>
            </w:pPr>
            <w:r>
              <w:rPr>
                <w:rFonts w:hint="eastAsia"/>
                <w:bCs/>
                <w:kern w:val="0"/>
                <w:szCs w:val="21"/>
                <w:lang w:val="zh-CN"/>
              </w:rPr>
              <w:t>21,959.47</w:t>
            </w:r>
          </w:p>
        </w:tc>
        <w:tc>
          <w:tcPr>
            <w:tcW w:w="1573" w:type="dxa"/>
            <w:vAlign w:val="center"/>
          </w:tcPr>
          <w:p w14:paraId="15ABE644">
            <w:pPr>
              <w:widowControl/>
              <w:adjustRightInd w:val="0"/>
              <w:snapToGrid w:val="0"/>
              <w:jc w:val="right"/>
              <w:rPr>
                <w:bCs/>
                <w:kern w:val="0"/>
                <w:szCs w:val="21"/>
                <w:lang w:val="zh-CN"/>
              </w:rPr>
            </w:pPr>
            <w:r>
              <w:rPr>
                <w:rFonts w:hint="eastAsia"/>
                <w:bCs/>
                <w:kern w:val="0"/>
                <w:szCs w:val="21"/>
                <w:lang w:val="zh-CN"/>
              </w:rPr>
              <w:t>12</w:t>
            </w:r>
            <w:r>
              <w:rPr>
                <w:bCs/>
                <w:kern w:val="0"/>
                <w:szCs w:val="21"/>
                <w:lang w:val="zh-CN"/>
              </w:rPr>
              <w:t>,</w:t>
            </w:r>
            <w:r>
              <w:rPr>
                <w:rFonts w:hint="eastAsia"/>
                <w:bCs/>
                <w:kern w:val="0"/>
                <w:szCs w:val="21"/>
                <w:lang w:val="zh-CN"/>
              </w:rPr>
              <w:t>7</w:t>
            </w:r>
            <w:r>
              <w:rPr>
                <w:bCs/>
                <w:kern w:val="0"/>
                <w:szCs w:val="21"/>
                <w:lang w:val="zh-CN"/>
              </w:rPr>
              <w:t>59.47</w:t>
            </w:r>
          </w:p>
        </w:tc>
      </w:tr>
      <w:tr w14:paraId="4A20A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5" w:type="dxa"/>
            <w:vAlign w:val="center"/>
          </w:tcPr>
          <w:p w14:paraId="643D8A1E">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2</w:t>
            </w:r>
          </w:p>
        </w:tc>
        <w:tc>
          <w:tcPr>
            <w:tcW w:w="2298" w:type="dxa"/>
            <w:vAlign w:val="center"/>
          </w:tcPr>
          <w:p w14:paraId="7B8BAE4C">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车载</w:t>
            </w:r>
            <w:r>
              <w:rPr>
                <w:rFonts w:ascii="宋体" w:hAnsi="宋体"/>
                <w:bCs/>
                <w:sz w:val="21"/>
                <w:szCs w:val="21"/>
                <w:lang w:val="zh-CN"/>
              </w:rPr>
              <w:t>BMS</w:t>
            </w:r>
            <w:r>
              <w:rPr>
                <w:rFonts w:hint="eastAsia" w:ascii="宋体" w:hAnsi="宋体"/>
                <w:bCs/>
                <w:sz w:val="21"/>
                <w:szCs w:val="21"/>
                <w:lang w:val="zh-CN"/>
              </w:rPr>
              <w:t>变压器产业化建设项目</w:t>
            </w:r>
          </w:p>
        </w:tc>
        <w:tc>
          <w:tcPr>
            <w:tcW w:w="1313" w:type="dxa"/>
            <w:vAlign w:val="center"/>
          </w:tcPr>
          <w:p w14:paraId="6C35F54F">
            <w:pPr>
              <w:widowControl/>
              <w:adjustRightInd w:val="0"/>
              <w:snapToGrid w:val="0"/>
              <w:jc w:val="right"/>
              <w:rPr>
                <w:bCs/>
                <w:kern w:val="0"/>
                <w:szCs w:val="21"/>
                <w:lang w:val="zh-CN"/>
              </w:rPr>
            </w:pPr>
            <w:r>
              <w:rPr>
                <w:rFonts w:hint="eastAsia"/>
                <w:bCs/>
                <w:kern w:val="0"/>
                <w:szCs w:val="21"/>
                <w:lang w:val="zh-CN"/>
              </w:rPr>
              <w:t>5,937.60</w:t>
            </w:r>
          </w:p>
        </w:tc>
        <w:tc>
          <w:tcPr>
            <w:tcW w:w="1444" w:type="dxa"/>
            <w:vAlign w:val="center"/>
          </w:tcPr>
          <w:p w14:paraId="11487D91">
            <w:pPr>
              <w:widowControl/>
              <w:adjustRightInd w:val="0"/>
              <w:snapToGrid w:val="0"/>
              <w:jc w:val="right"/>
              <w:rPr>
                <w:bCs/>
                <w:kern w:val="0"/>
                <w:szCs w:val="21"/>
                <w:lang w:val="zh-CN"/>
              </w:rPr>
            </w:pPr>
            <w:r>
              <w:rPr>
                <w:rFonts w:hint="eastAsia"/>
                <w:bCs/>
                <w:kern w:val="0"/>
                <w:szCs w:val="21"/>
                <w:lang w:val="zh-CN"/>
              </w:rPr>
              <w:t>4,500.00</w:t>
            </w:r>
          </w:p>
        </w:tc>
        <w:tc>
          <w:tcPr>
            <w:tcW w:w="1444" w:type="dxa"/>
            <w:vAlign w:val="center"/>
          </w:tcPr>
          <w:p w14:paraId="7C99AEB9">
            <w:pPr>
              <w:widowControl/>
              <w:adjustRightInd w:val="0"/>
              <w:snapToGrid w:val="0"/>
              <w:jc w:val="right"/>
              <w:rPr>
                <w:bCs/>
                <w:kern w:val="0"/>
                <w:szCs w:val="21"/>
                <w:lang w:val="zh-CN"/>
              </w:rPr>
            </w:pPr>
            <w:r>
              <w:rPr>
                <w:rFonts w:hint="eastAsia"/>
                <w:bCs/>
                <w:kern w:val="0"/>
                <w:szCs w:val="21"/>
                <w:lang w:val="zh-CN"/>
              </w:rPr>
              <w:t>4,500.00</w:t>
            </w:r>
          </w:p>
        </w:tc>
        <w:tc>
          <w:tcPr>
            <w:tcW w:w="1573" w:type="dxa"/>
            <w:vAlign w:val="center"/>
          </w:tcPr>
          <w:p w14:paraId="6890D15E">
            <w:pPr>
              <w:widowControl/>
              <w:adjustRightInd w:val="0"/>
              <w:snapToGrid w:val="0"/>
              <w:jc w:val="right"/>
              <w:rPr>
                <w:bCs/>
                <w:kern w:val="0"/>
                <w:szCs w:val="21"/>
                <w:lang w:val="zh-CN"/>
              </w:rPr>
            </w:pPr>
            <w:r>
              <w:rPr>
                <w:bCs/>
                <w:kern w:val="0"/>
                <w:szCs w:val="21"/>
                <w:lang w:val="zh-CN"/>
              </w:rPr>
              <w:t>4,500.00</w:t>
            </w:r>
          </w:p>
        </w:tc>
      </w:tr>
      <w:tr w14:paraId="5CC46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vMerge w:val="restart"/>
            <w:vAlign w:val="center"/>
          </w:tcPr>
          <w:p w14:paraId="51B6B28C">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3</w:t>
            </w:r>
          </w:p>
        </w:tc>
        <w:tc>
          <w:tcPr>
            <w:tcW w:w="2298" w:type="dxa"/>
            <w:vMerge w:val="restart"/>
            <w:vAlign w:val="center"/>
          </w:tcPr>
          <w:p w14:paraId="387E638D">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安全智能光储系统智能制造项目</w:t>
            </w:r>
          </w:p>
        </w:tc>
        <w:tc>
          <w:tcPr>
            <w:tcW w:w="1313" w:type="dxa"/>
            <w:vMerge w:val="restart"/>
            <w:vAlign w:val="center"/>
          </w:tcPr>
          <w:p w14:paraId="7A1EF3F2">
            <w:pPr>
              <w:widowControl/>
              <w:adjustRightInd w:val="0"/>
              <w:snapToGrid w:val="0"/>
              <w:jc w:val="right"/>
              <w:rPr>
                <w:bCs/>
                <w:kern w:val="0"/>
                <w:szCs w:val="21"/>
                <w:lang w:val="zh-CN"/>
              </w:rPr>
            </w:pPr>
            <w:r>
              <w:rPr>
                <w:rFonts w:hint="eastAsia"/>
                <w:bCs/>
                <w:kern w:val="0"/>
                <w:szCs w:val="21"/>
                <w:lang w:val="zh-CN"/>
              </w:rPr>
              <w:t>5,487.20</w:t>
            </w:r>
          </w:p>
        </w:tc>
        <w:tc>
          <w:tcPr>
            <w:tcW w:w="1444" w:type="dxa"/>
            <w:vMerge w:val="restart"/>
            <w:vAlign w:val="center"/>
          </w:tcPr>
          <w:p w14:paraId="2B492EB2">
            <w:pPr>
              <w:widowControl/>
              <w:adjustRightInd w:val="0"/>
              <w:snapToGrid w:val="0"/>
              <w:jc w:val="right"/>
              <w:rPr>
                <w:bCs/>
                <w:kern w:val="0"/>
                <w:szCs w:val="21"/>
                <w:lang w:val="zh-CN"/>
              </w:rPr>
            </w:pPr>
            <w:r>
              <w:rPr>
                <w:rFonts w:hint="eastAsia"/>
                <w:bCs/>
                <w:kern w:val="0"/>
                <w:szCs w:val="21"/>
                <w:lang w:val="zh-CN"/>
              </w:rPr>
              <w:t>3,500.00</w:t>
            </w:r>
          </w:p>
        </w:tc>
        <w:tc>
          <w:tcPr>
            <w:tcW w:w="1444" w:type="dxa"/>
            <w:vMerge w:val="restart"/>
            <w:vAlign w:val="center"/>
          </w:tcPr>
          <w:p w14:paraId="6A81CFDD">
            <w:pPr>
              <w:widowControl/>
              <w:adjustRightInd w:val="0"/>
              <w:snapToGrid w:val="0"/>
              <w:jc w:val="right"/>
              <w:rPr>
                <w:bCs/>
                <w:kern w:val="0"/>
                <w:szCs w:val="21"/>
                <w:lang w:val="zh-CN"/>
              </w:rPr>
            </w:pPr>
            <w:r>
              <w:rPr>
                <w:rFonts w:hint="eastAsia"/>
                <w:bCs/>
                <w:kern w:val="0"/>
                <w:szCs w:val="21"/>
                <w:lang w:val="zh-CN"/>
              </w:rPr>
              <w:t>3,500.00</w:t>
            </w:r>
          </w:p>
        </w:tc>
        <w:tc>
          <w:tcPr>
            <w:tcW w:w="1573" w:type="dxa"/>
            <w:vMerge w:val="restart"/>
            <w:vAlign w:val="center"/>
          </w:tcPr>
          <w:p w14:paraId="310690E8">
            <w:pPr>
              <w:widowControl/>
              <w:adjustRightInd w:val="0"/>
              <w:snapToGrid w:val="0"/>
              <w:jc w:val="right"/>
              <w:rPr>
                <w:bCs/>
                <w:kern w:val="0"/>
                <w:szCs w:val="21"/>
                <w:lang w:val="zh-CN"/>
              </w:rPr>
            </w:pPr>
            <w:r>
              <w:rPr>
                <w:rFonts w:hint="eastAsia"/>
                <w:bCs/>
                <w:kern w:val="0"/>
                <w:szCs w:val="21"/>
                <w:lang w:val="zh-CN"/>
              </w:rPr>
              <w:t>132</w:t>
            </w:r>
            <w:r>
              <w:rPr>
                <w:bCs/>
                <w:kern w:val="0"/>
                <w:szCs w:val="21"/>
                <w:lang w:val="zh-CN"/>
              </w:rPr>
              <w:t>.</w:t>
            </w:r>
            <w:r>
              <w:rPr>
                <w:rFonts w:hint="eastAsia"/>
                <w:bCs/>
                <w:kern w:val="0"/>
                <w:szCs w:val="21"/>
                <w:lang w:val="zh-CN"/>
              </w:rPr>
              <w:t>34</w:t>
            </w:r>
          </w:p>
        </w:tc>
      </w:tr>
      <w:tr w14:paraId="37B27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vMerge w:val="continue"/>
            <w:vAlign w:val="center"/>
          </w:tcPr>
          <w:p w14:paraId="76A63FBE">
            <w:pPr>
              <w:pStyle w:val="22"/>
              <w:spacing w:line="240" w:lineRule="auto"/>
              <w:ind w:firstLine="0" w:firstLineChars="0"/>
              <w:jc w:val="center"/>
              <w:rPr>
                <w:rFonts w:hint="eastAsia" w:ascii="宋体" w:hAnsi="宋体"/>
                <w:bCs/>
                <w:sz w:val="21"/>
                <w:szCs w:val="21"/>
                <w:lang w:val="zh-CN"/>
              </w:rPr>
            </w:pPr>
          </w:p>
        </w:tc>
        <w:tc>
          <w:tcPr>
            <w:tcW w:w="2298" w:type="dxa"/>
            <w:vMerge w:val="continue"/>
            <w:vAlign w:val="center"/>
          </w:tcPr>
          <w:p w14:paraId="441E02D6">
            <w:pPr>
              <w:pStyle w:val="22"/>
              <w:spacing w:line="240" w:lineRule="auto"/>
              <w:ind w:firstLine="0" w:firstLineChars="0"/>
              <w:jc w:val="center"/>
              <w:rPr>
                <w:rFonts w:hint="eastAsia" w:ascii="宋体" w:hAnsi="宋体"/>
                <w:bCs/>
                <w:sz w:val="21"/>
                <w:szCs w:val="21"/>
                <w:lang w:val="zh-CN"/>
              </w:rPr>
            </w:pPr>
          </w:p>
        </w:tc>
        <w:tc>
          <w:tcPr>
            <w:tcW w:w="1313" w:type="dxa"/>
            <w:vMerge w:val="continue"/>
            <w:vAlign w:val="center"/>
          </w:tcPr>
          <w:p w14:paraId="4A5FA8A7">
            <w:pPr>
              <w:widowControl/>
              <w:adjustRightInd w:val="0"/>
              <w:snapToGrid w:val="0"/>
              <w:jc w:val="right"/>
              <w:rPr>
                <w:bCs/>
                <w:kern w:val="0"/>
                <w:szCs w:val="21"/>
                <w:lang w:val="zh-CN"/>
              </w:rPr>
            </w:pPr>
          </w:p>
        </w:tc>
        <w:tc>
          <w:tcPr>
            <w:tcW w:w="1444" w:type="dxa"/>
            <w:vMerge w:val="continue"/>
            <w:vAlign w:val="center"/>
          </w:tcPr>
          <w:p w14:paraId="5BE09224">
            <w:pPr>
              <w:widowControl/>
              <w:adjustRightInd w:val="0"/>
              <w:snapToGrid w:val="0"/>
              <w:jc w:val="right"/>
              <w:rPr>
                <w:bCs/>
                <w:kern w:val="0"/>
                <w:szCs w:val="21"/>
                <w:lang w:val="zh-CN"/>
              </w:rPr>
            </w:pPr>
          </w:p>
        </w:tc>
        <w:tc>
          <w:tcPr>
            <w:tcW w:w="1444" w:type="dxa"/>
            <w:vMerge w:val="continue"/>
            <w:vAlign w:val="center"/>
          </w:tcPr>
          <w:p w14:paraId="6F2C3109">
            <w:pPr>
              <w:widowControl/>
              <w:adjustRightInd w:val="0"/>
              <w:snapToGrid w:val="0"/>
              <w:jc w:val="right"/>
              <w:rPr>
                <w:bCs/>
                <w:kern w:val="0"/>
                <w:szCs w:val="21"/>
                <w:lang w:val="zh-CN"/>
              </w:rPr>
            </w:pPr>
          </w:p>
        </w:tc>
        <w:tc>
          <w:tcPr>
            <w:tcW w:w="1573" w:type="dxa"/>
            <w:vMerge w:val="continue"/>
            <w:vAlign w:val="center"/>
          </w:tcPr>
          <w:p w14:paraId="0AA46F75">
            <w:pPr>
              <w:widowControl/>
              <w:adjustRightInd w:val="0"/>
              <w:snapToGrid w:val="0"/>
              <w:jc w:val="right"/>
              <w:rPr>
                <w:bCs/>
                <w:kern w:val="0"/>
                <w:szCs w:val="21"/>
                <w:lang w:val="zh-CN"/>
              </w:rPr>
            </w:pPr>
          </w:p>
        </w:tc>
      </w:tr>
      <w:tr w14:paraId="65029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5" w:type="dxa"/>
            <w:vAlign w:val="center"/>
          </w:tcPr>
          <w:p w14:paraId="67141691">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4</w:t>
            </w:r>
          </w:p>
        </w:tc>
        <w:tc>
          <w:tcPr>
            <w:tcW w:w="2298" w:type="dxa"/>
            <w:vAlign w:val="center"/>
          </w:tcPr>
          <w:p w14:paraId="07DE8AD5">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补充流动资金</w:t>
            </w:r>
          </w:p>
        </w:tc>
        <w:tc>
          <w:tcPr>
            <w:tcW w:w="1313" w:type="dxa"/>
            <w:vAlign w:val="center"/>
          </w:tcPr>
          <w:p w14:paraId="69846AF6">
            <w:pPr>
              <w:widowControl/>
              <w:adjustRightInd w:val="0"/>
              <w:snapToGrid w:val="0"/>
              <w:jc w:val="right"/>
              <w:rPr>
                <w:bCs/>
                <w:kern w:val="0"/>
                <w:szCs w:val="21"/>
                <w:lang w:val="zh-CN"/>
              </w:rPr>
            </w:pPr>
            <w:r>
              <w:rPr>
                <w:rFonts w:hint="eastAsia"/>
                <w:bCs/>
                <w:kern w:val="0"/>
                <w:szCs w:val="21"/>
                <w:lang w:val="zh-CN"/>
              </w:rPr>
              <w:t>12,500.00</w:t>
            </w:r>
          </w:p>
        </w:tc>
        <w:tc>
          <w:tcPr>
            <w:tcW w:w="1444" w:type="dxa"/>
            <w:vAlign w:val="center"/>
          </w:tcPr>
          <w:p w14:paraId="1B93C76D">
            <w:pPr>
              <w:widowControl/>
              <w:adjustRightInd w:val="0"/>
              <w:snapToGrid w:val="0"/>
              <w:jc w:val="right"/>
              <w:rPr>
                <w:bCs/>
                <w:kern w:val="0"/>
                <w:szCs w:val="21"/>
                <w:lang w:val="zh-CN"/>
              </w:rPr>
            </w:pPr>
            <w:r>
              <w:rPr>
                <w:rFonts w:hint="eastAsia"/>
                <w:bCs/>
                <w:kern w:val="0"/>
                <w:szCs w:val="21"/>
                <w:lang w:val="zh-CN"/>
              </w:rPr>
              <w:t>10,800.00</w:t>
            </w:r>
          </w:p>
        </w:tc>
        <w:tc>
          <w:tcPr>
            <w:tcW w:w="1444" w:type="dxa"/>
            <w:vAlign w:val="center"/>
          </w:tcPr>
          <w:p w14:paraId="00FB6E78">
            <w:pPr>
              <w:widowControl/>
              <w:adjustRightInd w:val="0"/>
              <w:snapToGrid w:val="0"/>
              <w:jc w:val="right"/>
              <w:rPr>
                <w:bCs/>
                <w:kern w:val="0"/>
                <w:szCs w:val="21"/>
                <w:lang w:val="zh-CN"/>
              </w:rPr>
            </w:pPr>
            <w:r>
              <w:rPr>
                <w:rFonts w:hint="eastAsia"/>
                <w:bCs/>
                <w:kern w:val="0"/>
                <w:szCs w:val="21"/>
                <w:lang w:val="zh-CN"/>
              </w:rPr>
              <w:t>10,800.00</w:t>
            </w:r>
          </w:p>
        </w:tc>
        <w:tc>
          <w:tcPr>
            <w:tcW w:w="1573" w:type="dxa"/>
            <w:vAlign w:val="center"/>
          </w:tcPr>
          <w:p w14:paraId="35B3FFBF">
            <w:pPr>
              <w:widowControl/>
              <w:adjustRightInd w:val="0"/>
              <w:snapToGrid w:val="0"/>
              <w:jc w:val="right"/>
              <w:rPr>
                <w:bCs/>
                <w:kern w:val="0"/>
                <w:szCs w:val="21"/>
                <w:lang w:val="zh-CN"/>
              </w:rPr>
            </w:pPr>
            <w:r>
              <w:rPr>
                <w:rFonts w:hint="eastAsia"/>
                <w:bCs/>
                <w:kern w:val="0"/>
                <w:szCs w:val="21"/>
                <w:lang w:val="zh-CN"/>
              </w:rPr>
              <w:t>10,800.00</w:t>
            </w:r>
          </w:p>
        </w:tc>
      </w:tr>
      <w:tr w14:paraId="5DF60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5" w:type="dxa"/>
            <w:vAlign w:val="center"/>
          </w:tcPr>
          <w:p w14:paraId="17618465">
            <w:pPr>
              <w:pStyle w:val="22"/>
              <w:spacing w:line="240" w:lineRule="auto"/>
              <w:ind w:firstLine="0" w:firstLineChars="0"/>
              <w:jc w:val="center"/>
              <w:rPr>
                <w:rFonts w:hint="eastAsia" w:ascii="宋体" w:hAnsi="宋体"/>
                <w:bCs/>
                <w:sz w:val="21"/>
                <w:szCs w:val="21"/>
              </w:rPr>
            </w:pPr>
            <w:r>
              <w:rPr>
                <w:rFonts w:hint="eastAsia" w:ascii="宋体" w:hAnsi="宋体"/>
                <w:bCs/>
                <w:sz w:val="21"/>
                <w:szCs w:val="21"/>
              </w:rPr>
              <w:t>5</w:t>
            </w:r>
          </w:p>
        </w:tc>
        <w:tc>
          <w:tcPr>
            <w:tcW w:w="2298" w:type="dxa"/>
            <w:vAlign w:val="center"/>
          </w:tcPr>
          <w:p w14:paraId="0B24394C">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光模块及光器件产品改建项目</w:t>
            </w:r>
          </w:p>
        </w:tc>
        <w:tc>
          <w:tcPr>
            <w:tcW w:w="1313" w:type="dxa"/>
            <w:vAlign w:val="center"/>
          </w:tcPr>
          <w:p w14:paraId="19371A6C">
            <w:pPr>
              <w:widowControl/>
              <w:adjustRightInd w:val="0"/>
              <w:snapToGrid w:val="0"/>
              <w:jc w:val="right"/>
              <w:rPr>
                <w:bCs/>
                <w:kern w:val="0"/>
                <w:szCs w:val="21"/>
                <w:lang w:val="zh-CN"/>
              </w:rPr>
            </w:pPr>
            <w:r>
              <w:rPr>
                <w:rFonts w:hint="eastAsia"/>
                <w:bCs/>
                <w:kern w:val="0"/>
                <w:szCs w:val="21"/>
                <w:lang w:val="zh-CN"/>
              </w:rPr>
              <w:t>13,475.98</w:t>
            </w:r>
          </w:p>
        </w:tc>
        <w:tc>
          <w:tcPr>
            <w:tcW w:w="1444" w:type="dxa"/>
            <w:vAlign w:val="center"/>
          </w:tcPr>
          <w:p w14:paraId="7D7CC0B0">
            <w:pPr>
              <w:widowControl/>
              <w:adjustRightInd w:val="0"/>
              <w:snapToGrid w:val="0"/>
              <w:jc w:val="right"/>
              <w:rPr>
                <w:bCs/>
                <w:kern w:val="0"/>
                <w:szCs w:val="21"/>
              </w:rPr>
            </w:pPr>
            <w:r>
              <w:rPr>
                <w:rFonts w:hint="eastAsia"/>
                <w:bCs/>
                <w:kern w:val="0"/>
                <w:szCs w:val="21"/>
              </w:rPr>
              <w:t>0.00</w:t>
            </w:r>
          </w:p>
        </w:tc>
        <w:tc>
          <w:tcPr>
            <w:tcW w:w="1444" w:type="dxa"/>
            <w:vAlign w:val="center"/>
          </w:tcPr>
          <w:p w14:paraId="24C87EE5">
            <w:pPr>
              <w:widowControl/>
              <w:adjustRightInd w:val="0"/>
              <w:snapToGrid w:val="0"/>
              <w:jc w:val="right"/>
              <w:rPr>
                <w:bCs/>
                <w:kern w:val="0"/>
                <w:szCs w:val="21"/>
              </w:rPr>
            </w:pPr>
            <w:r>
              <w:rPr>
                <w:rFonts w:hint="eastAsia"/>
                <w:bCs/>
                <w:kern w:val="0"/>
                <w:szCs w:val="21"/>
              </w:rPr>
              <w:t>0.00</w:t>
            </w:r>
          </w:p>
        </w:tc>
        <w:tc>
          <w:tcPr>
            <w:tcW w:w="1573" w:type="dxa"/>
            <w:vAlign w:val="center"/>
          </w:tcPr>
          <w:p w14:paraId="61F72714">
            <w:pPr>
              <w:widowControl/>
              <w:adjustRightInd w:val="0"/>
              <w:snapToGrid w:val="0"/>
              <w:jc w:val="right"/>
              <w:rPr>
                <w:bCs/>
                <w:kern w:val="0"/>
                <w:szCs w:val="21"/>
                <w:lang w:val="zh-CN"/>
              </w:rPr>
            </w:pPr>
            <w:r>
              <w:rPr>
                <w:rFonts w:hint="eastAsia"/>
                <w:bCs/>
                <w:kern w:val="0"/>
                <w:szCs w:val="21"/>
                <w:lang w:val="zh-CN"/>
              </w:rPr>
              <w:t>12,567.66</w:t>
            </w:r>
          </w:p>
        </w:tc>
      </w:tr>
      <w:tr w14:paraId="08B32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23" w:type="dxa"/>
            <w:gridSpan w:val="2"/>
            <w:vAlign w:val="center"/>
          </w:tcPr>
          <w:p w14:paraId="1FD7046C">
            <w:pPr>
              <w:pStyle w:val="22"/>
              <w:spacing w:line="240" w:lineRule="auto"/>
              <w:ind w:firstLine="0" w:firstLineChars="0"/>
              <w:jc w:val="center"/>
              <w:rPr>
                <w:rFonts w:hint="eastAsia" w:ascii="宋体" w:hAnsi="宋体"/>
                <w:b/>
                <w:bCs/>
                <w:sz w:val="21"/>
                <w:szCs w:val="21"/>
              </w:rPr>
            </w:pPr>
            <w:r>
              <w:rPr>
                <w:rFonts w:hint="eastAsia" w:ascii="宋体" w:hAnsi="宋体"/>
                <w:b/>
                <w:bCs/>
                <w:sz w:val="21"/>
                <w:szCs w:val="21"/>
              </w:rPr>
              <w:t>合计</w:t>
            </w:r>
          </w:p>
        </w:tc>
        <w:tc>
          <w:tcPr>
            <w:tcW w:w="1313" w:type="dxa"/>
            <w:vAlign w:val="center"/>
          </w:tcPr>
          <w:p w14:paraId="7D504B95">
            <w:pPr>
              <w:widowControl/>
              <w:adjustRightInd w:val="0"/>
              <w:snapToGrid w:val="0"/>
              <w:jc w:val="right"/>
              <w:rPr>
                <w:b/>
                <w:kern w:val="0"/>
                <w:szCs w:val="21"/>
                <w:lang w:val="zh-CN"/>
              </w:rPr>
            </w:pPr>
            <w:r>
              <w:rPr>
                <w:rFonts w:hint="eastAsia"/>
                <w:b/>
                <w:kern w:val="0"/>
                <w:szCs w:val="21"/>
                <w:lang w:val="zh-CN"/>
              </w:rPr>
              <w:t>51,618.65</w:t>
            </w:r>
          </w:p>
        </w:tc>
        <w:tc>
          <w:tcPr>
            <w:tcW w:w="1444" w:type="dxa"/>
            <w:vAlign w:val="center"/>
          </w:tcPr>
          <w:p w14:paraId="02C9A9F6">
            <w:pPr>
              <w:widowControl/>
              <w:adjustRightInd w:val="0"/>
              <w:snapToGrid w:val="0"/>
              <w:jc w:val="right"/>
              <w:rPr>
                <w:b/>
                <w:kern w:val="0"/>
                <w:szCs w:val="21"/>
                <w:lang w:val="zh-CN"/>
              </w:rPr>
            </w:pPr>
            <w:r>
              <w:rPr>
                <w:rFonts w:hint="eastAsia"/>
                <w:b/>
                <w:kern w:val="0"/>
                <w:szCs w:val="21"/>
                <w:lang w:val="zh-CN"/>
              </w:rPr>
              <w:t>41,700.00</w:t>
            </w:r>
          </w:p>
        </w:tc>
        <w:tc>
          <w:tcPr>
            <w:tcW w:w="1444" w:type="dxa"/>
            <w:vAlign w:val="center"/>
          </w:tcPr>
          <w:p w14:paraId="3A401C1E">
            <w:pPr>
              <w:widowControl/>
              <w:adjustRightInd w:val="0"/>
              <w:snapToGrid w:val="0"/>
              <w:jc w:val="right"/>
              <w:rPr>
                <w:b/>
                <w:kern w:val="0"/>
                <w:szCs w:val="21"/>
                <w:lang w:val="zh-CN"/>
              </w:rPr>
            </w:pPr>
            <w:r>
              <w:rPr>
                <w:rFonts w:hint="eastAsia"/>
                <w:b/>
                <w:kern w:val="0"/>
                <w:szCs w:val="21"/>
                <w:lang w:val="zh-CN"/>
              </w:rPr>
              <w:t>40,759.47</w:t>
            </w:r>
          </w:p>
        </w:tc>
        <w:tc>
          <w:tcPr>
            <w:tcW w:w="1573" w:type="dxa"/>
            <w:vAlign w:val="center"/>
          </w:tcPr>
          <w:p w14:paraId="7ACFCB40">
            <w:pPr>
              <w:widowControl/>
              <w:adjustRightInd w:val="0"/>
              <w:snapToGrid w:val="0"/>
              <w:jc w:val="right"/>
              <w:rPr>
                <w:b/>
                <w:kern w:val="0"/>
                <w:szCs w:val="21"/>
                <w:lang w:val="zh-CN"/>
              </w:rPr>
            </w:pPr>
            <w:r>
              <w:rPr>
                <w:rFonts w:hint="eastAsia"/>
                <w:b/>
                <w:kern w:val="0"/>
                <w:szCs w:val="21"/>
                <w:lang w:val="zh-CN"/>
              </w:rPr>
              <w:t>40,759.47</w:t>
            </w:r>
          </w:p>
        </w:tc>
      </w:tr>
    </w:tbl>
    <w:p w14:paraId="6958842F">
      <w:pPr>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截至2024年12月31日，公司募集资金的使用情况如下：</w:t>
      </w:r>
      <w:bookmarkStart w:id="0" w:name="_GoBack"/>
      <w:bookmarkEnd w:id="0"/>
    </w:p>
    <w:p w14:paraId="2726C733">
      <w:pPr>
        <w:spacing w:before="0" w:beforeLines="0" w:after="0" w:afterLines="0" w:line="360" w:lineRule="auto"/>
        <w:ind w:firstLine="480" w:firstLineChars="200"/>
        <w:jc w:val="right"/>
        <w:rPr>
          <w:rFonts w:hint="eastAsia" w:ascii="宋体" w:hAnsi="宋体" w:cs="宋体"/>
          <w:sz w:val="24"/>
        </w:rPr>
      </w:pPr>
      <w:r>
        <w:rPr>
          <w:rFonts w:hint="eastAsia" w:ascii="宋体" w:hAnsi="宋体"/>
          <w:sz w:val="24"/>
        </w:rPr>
        <w:t>单位：万元</w:t>
      </w:r>
    </w:p>
    <w:tbl>
      <w:tblPr>
        <w:tblStyle w:val="7"/>
        <w:tblW w:w="49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400"/>
        <w:gridCol w:w="1788"/>
        <w:gridCol w:w="1874"/>
        <w:gridCol w:w="1756"/>
      </w:tblGrid>
      <w:tr w14:paraId="11568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93" w:type="pct"/>
            <w:tcBorders>
              <w:tl2br w:val="nil"/>
              <w:tr2bl w:val="nil"/>
            </w:tcBorders>
            <w:vAlign w:val="center"/>
          </w:tcPr>
          <w:p w14:paraId="0B483743">
            <w:pPr>
              <w:widowControl/>
              <w:jc w:val="center"/>
              <w:rPr>
                <w:rFonts w:hint="eastAsia" w:ascii="宋体" w:hAnsi="宋体" w:eastAsiaTheme="minorEastAsia"/>
                <w:b/>
                <w:bCs/>
                <w:szCs w:val="21"/>
              </w:rPr>
            </w:pPr>
            <w:r>
              <w:rPr>
                <w:rFonts w:hint="eastAsia" w:ascii="宋体" w:hAnsi="宋体"/>
                <w:b/>
                <w:bCs/>
                <w:szCs w:val="21"/>
              </w:rPr>
              <w:t>序号</w:t>
            </w:r>
          </w:p>
        </w:tc>
        <w:tc>
          <w:tcPr>
            <w:tcW w:w="1414" w:type="pct"/>
            <w:tcBorders>
              <w:tl2br w:val="nil"/>
              <w:tr2bl w:val="nil"/>
            </w:tcBorders>
            <w:vAlign w:val="center"/>
          </w:tcPr>
          <w:p w14:paraId="4E1C5710">
            <w:pPr>
              <w:widowControl/>
              <w:jc w:val="center"/>
              <w:rPr>
                <w:b/>
                <w:bCs/>
                <w:color w:val="000000"/>
                <w:kern w:val="0"/>
                <w:szCs w:val="21"/>
              </w:rPr>
            </w:pPr>
            <w:r>
              <w:rPr>
                <w:rFonts w:hint="eastAsia" w:ascii="宋体" w:hAnsi="宋体"/>
                <w:b/>
                <w:bCs/>
                <w:szCs w:val="21"/>
                <w:lang w:val="zh-CN"/>
              </w:rPr>
              <w:t>项目名称</w:t>
            </w:r>
          </w:p>
        </w:tc>
        <w:tc>
          <w:tcPr>
            <w:tcW w:w="1053" w:type="pct"/>
            <w:tcBorders>
              <w:tl2br w:val="nil"/>
              <w:tr2bl w:val="nil"/>
            </w:tcBorders>
            <w:vAlign w:val="center"/>
          </w:tcPr>
          <w:p w14:paraId="0886DD34">
            <w:pPr>
              <w:widowControl/>
              <w:jc w:val="center"/>
              <w:rPr>
                <w:rFonts w:eastAsiaTheme="minorEastAsia"/>
                <w:b/>
                <w:bCs/>
                <w:color w:val="000000"/>
                <w:kern w:val="0"/>
                <w:szCs w:val="21"/>
              </w:rPr>
            </w:pPr>
            <w:r>
              <w:rPr>
                <w:b/>
                <w:bCs/>
                <w:color w:val="000000"/>
                <w:kern w:val="0"/>
                <w:szCs w:val="21"/>
              </w:rPr>
              <w:t>募集资金</w:t>
            </w:r>
            <w:r>
              <w:rPr>
                <w:rFonts w:hint="eastAsia"/>
                <w:b/>
                <w:bCs/>
                <w:color w:val="000000"/>
                <w:kern w:val="0"/>
                <w:szCs w:val="21"/>
              </w:rPr>
              <w:t>调整后</w:t>
            </w:r>
          </w:p>
          <w:p w14:paraId="123E8342">
            <w:pPr>
              <w:widowControl/>
              <w:jc w:val="center"/>
              <w:rPr>
                <w:b/>
                <w:bCs/>
                <w:color w:val="000000"/>
                <w:kern w:val="0"/>
                <w:szCs w:val="21"/>
              </w:rPr>
            </w:pPr>
            <w:r>
              <w:rPr>
                <w:rFonts w:hint="eastAsia"/>
                <w:b/>
                <w:bCs/>
                <w:color w:val="000000"/>
                <w:kern w:val="0"/>
                <w:szCs w:val="21"/>
              </w:rPr>
              <w:t>投资</w:t>
            </w:r>
            <w:r>
              <w:rPr>
                <w:b/>
                <w:bCs/>
                <w:color w:val="000000"/>
                <w:kern w:val="0"/>
                <w:szCs w:val="21"/>
              </w:rPr>
              <w:t>总额</w:t>
            </w:r>
          </w:p>
        </w:tc>
        <w:tc>
          <w:tcPr>
            <w:tcW w:w="1104" w:type="pct"/>
            <w:tcBorders>
              <w:tl2br w:val="nil"/>
              <w:tr2bl w:val="nil"/>
            </w:tcBorders>
            <w:vAlign w:val="center"/>
          </w:tcPr>
          <w:p w14:paraId="7029B35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截至2024年12月31日投入金额</w:t>
            </w:r>
          </w:p>
        </w:tc>
        <w:tc>
          <w:tcPr>
            <w:tcW w:w="1034" w:type="pct"/>
            <w:tcBorders>
              <w:tl2br w:val="nil"/>
              <w:tr2bl w:val="nil"/>
            </w:tcBorders>
            <w:vAlign w:val="center"/>
          </w:tcPr>
          <w:p w14:paraId="50ED943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截至2024年12月31日投资进度</w:t>
            </w:r>
          </w:p>
        </w:tc>
      </w:tr>
      <w:tr w14:paraId="3B17B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93" w:type="pct"/>
            <w:tcBorders>
              <w:tl2br w:val="nil"/>
              <w:tr2bl w:val="nil"/>
            </w:tcBorders>
            <w:vAlign w:val="center"/>
          </w:tcPr>
          <w:p w14:paraId="3F5F9852">
            <w:pPr>
              <w:pStyle w:val="22"/>
              <w:spacing w:line="240" w:lineRule="auto"/>
              <w:ind w:firstLine="0" w:firstLineChars="0"/>
              <w:jc w:val="center"/>
              <w:rPr>
                <w:color w:val="000000"/>
                <w:kern w:val="0"/>
                <w:szCs w:val="21"/>
              </w:rPr>
            </w:pPr>
            <w:r>
              <w:rPr>
                <w:rFonts w:ascii="宋体" w:hAnsi="宋体"/>
                <w:bCs/>
                <w:sz w:val="21"/>
                <w:szCs w:val="21"/>
                <w:lang w:val="zh-CN"/>
              </w:rPr>
              <w:t>1</w:t>
            </w:r>
          </w:p>
        </w:tc>
        <w:tc>
          <w:tcPr>
            <w:tcW w:w="1414" w:type="pct"/>
            <w:tcBorders>
              <w:tl2br w:val="nil"/>
              <w:tr2bl w:val="nil"/>
            </w:tcBorders>
            <w:vAlign w:val="center"/>
          </w:tcPr>
          <w:p w14:paraId="004DB487">
            <w:pPr>
              <w:pStyle w:val="22"/>
              <w:spacing w:line="240" w:lineRule="auto"/>
              <w:ind w:firstLine="0" w:firstLineChars="0"/>
              <w:jc w:val="center"/>
              <w:rPr>
                <w:color w:val="000000"/>
                <w:kern w:val="0"/>
                <w:szCs w:val="21"/>
              </w:rPr>
            </w:pPr>
            <w:r>
              <w:rPr>
                <w:rFonts w:hint="eastAsia" w:ascii="宋体" w:hAnsi="宋体"/>
                <w:bCs/>
                <w:sz w:val="21"/>
                <w:szCs w:val="21"/>
                <w:lang w:val="zh-CN"/>
              </w:rPr>
              <w:t>光伏储能和片式通信磁性元器件智能制造项目</w:t>
            </w:r>
          </w:p>
        </w:tc>
        <w:tc>
          <w:tcPr>
            <w:tcW w:w="1053" w:type="pct"/>
            <w:tcBorders>
              <w:tl2br w:val="nil"/>
              <w:tr2bl w:val="nil"/>
            </w:tcBorders>
            <w:vAlign w:val="center"/>
          </w:tcPr>
          <w:p w14:paraId="50A91F38">
            <w:pPr>
              <w:widowControl/>
              <w:adjustRightInd w:val="0"/>
              <w:snapToGrid w:val="0"/>
              <w:jc w:val="right"/>
              <w:rPr>
                <w:bCs/>
                <w:kern w:val="0"/>
                <w:szCs w:val="21"/>
                <w:lang w:val="zh-CN"/>
              </w:rPr>
            </w:pPr>
            <w:r>
              <w:rPr>
                <w:rFonts w:hint="eastAsia"/>
                <w:bCs/>
                <w:kern w:val="0"/>
                <w:szCs w:val="21"/>
              </w:rPr>
              <w:t>12</w:t>
            </w:r>
            <w:r>
              <w:rPr>
                <w:rFonts w:hint="eastAsia"/>
                <w:bCs/>
                <w:kern w:val="0"/>
                <w:szCs w:val="21"/>
                <w:lang w:val="zh-CN"/>
              </w:rPr>
              <w:t>,</w:t>
            </w:r>
            <w:r>
              <w:rPr>
                <w:rFonts w:hint="eastAsia"/>
                <w:bCs/>
                <w:kern w:val="0"/>
                <w:szCs w:val="21"/>
              </w:rPr>
              <w:t>7</w:t>
            </w:r>
            <w:r>
              <w:rPr>
                <w:rFonts w:hint="eastAsia"/>
                <w:bCs/>
                <w:kern w:val="0"/>
                <w:szCs w:val="21"/>
                <w:lang w:val="zh-CN"/>
              </w:rPr>
              <w:t>59.47</w:t>
            </w:r>
          </w:p>
        </w:tc>
        <w:tc>
          <w:tcPr>
            <w:tcW w:w="1104" w:type="pct"/>
            <w:tcBorders>
              <w:tl2br w:val="nil"/>
              <w:tr2bl w:val="nil"/>
            </w:tcBorders>
            <w:vAlign w:val="center"/>
          </w:tcPr>
          <w:p w14:paraId="33598975">
            <w:pPr>
              <w:widowControl/>
              <w:adjustRightInd w:val="0"/>
              <w:snapToGrid w:val="0"/>
              <w:jc w:val="right"/>
              <w:rPr>
                <w:bCs/>
                <w:kern w:val="0"/>
                <w:szCs w:val="21"/>
                <w:lang w:val="zh-CN"/>
              </w:rPr>
            </w:pPr>
            <w:r>
              <w:rPr>
                <w:rFonts w:hint="eastAsia"/>
                <w:bCs/>
                <w:kern w:val="0"/>
                <w:szCs w:val="21"/>
                <w:lang w:val="zh-CN"/>
              </w:rPr>
              <w:t>6</w:t>
            </w:r>
            <w:r>
              <w:rPr>
                <w:rFonts w:hint="eastAsia"/>
                <w:bCs/>
                <w:kern w:val="0"/>
                <w:szCs w:val="21"/>
              </w:rPr>
              <w:t>,</w:t>
            </w:r>
            <w:r>
              <w:rPr>
                <w:rFonts w:hint="eastAsia"/>
                <w:bCs/>
                <w:kern w:val="0"/>
                <w:szCs w:val="21"/>
                <w:lang w:val="zh-CN"/>
              </w:rPr>
              <w:t xml:space="preserve">967.47 </w:t>
            </w:r>
            <w:r>
              <w:rPr>
                <w:rFonts w:hint="eastAsia"/>
                <w:bCs/>
                <w:kern w:val="0"/>
                <w:szCs w:val="21"/>
              </w:rPr>
              <w:t xml:space="preserve"> </w:t>
            </w:r>
          </w:p>
        </w:tc>
        <w:tc>
          <w:tcPr>
            <w:tcW w:w="1034" w:type="pct"/>
            <w:tcBorders>
              <w:tl2br w:val="nil"/>
              <w:tr2bl w:val="nil"/>
            </w:tcBorders>
            <w:vAlign w:val="center"/>
          </w:tcPr>
          <w:p w14:paraId="0623C70F">
            <w:pPr>
              <w:widowControl/>
              <w:adjustRightInd w:val="0"/>
              <w:snapToGrid w:val="0"/>
              <w:jc w:val="right"/>
              <w:rPr>
                <w:bCs/>
                <w:kern w:val="0"/>
                <w:szCs w:val="21"/>
                <w:lang w:val="zh-CN"/>
              </w:rPr>
            </w:pPr>
            <w:r>
              <w:rPr>
                <w:rFonts w:hint="eastAsia"/>
                <w:bCs/>
                <w:kern w:val="0"/>
                <w:szCs w:val="21"/>
              </w:rPr>
              <w:t>54.61%</w:t>
            </w:r>
          </w:p>
        </w:tc>
      </w:tr>
      <w:tr w14:paraId="0C1F8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3" w:type="pct"/>
            <w:tcBorders>
              <w:tl2br w:val="nil"/>
              <w:tr2bl w:val="nil"/>
            </w:tcBorders>
            <w:vAlign w:val="center"/>
          </w:tcPr>
          <w:p w14:paraId="560D86B4">
            <w:pPr>
              <w:pStyle w:val="22"/>
              <w:spacing w:line="240" w:lineRule="auto"/>
              <w:ind w:firstLine="0" w:firstLineChars="0"/>
              <w:jc w:val="center"/>
              <w:rPr>
                <w:color w:val="000000"/>
                <w:kern w:val="0"/>
                <w:szCs w:val="21"/>
              </w:rPr>
            </w:pPr>
            <w:r>
              <w:rPr>
                <w:rFonts w:ascii="宋体" w:hAnsi="宋体"/>
                <w:bCs/>
                <w:sz w:val="21"/>
                <w:szCs w:val="21"/>
                <w:lang w:val="zh-CN"/>
              </w:rPr>
              <w:t>2</w:t>
            </w:r>
          </w:p>
        </w:tc>
        <w:tc>
          <w:tcPr>
            <w:tcW w:w="1414" w:type="pct"/>
            <w:tcBorders>
              <w:tl2br w:val="nil"/>
              <w:tr2bl w:val="nil"/>
            </w:tcBorders>
            <w:vAlign w:val="center"/>
          </w:tcPr>
          <w:p w14:paraId="2A5D74C6">
            <w:pPr>
              <w:pStyle w:val="22"/>
              <w:spacing w:line="240" w:lineRule="auto"/>
              <w:ind w:firstLine="0" w:firstLineChars="0"/>
              <w:jc w:val="center"/>
              <w:rPr>
                <w:color w:val="000000"/>
                <w:kern w:val="0"/>
                <w:szCs w:val="21"/>
              </w:rPr>
            </w:pPr>
            <w:r>
              <w:rPr>
                <w:rFonts w:hint="eastAsia" w:ascii="宋体" w:hAnsi="宋体"/>
                <w:bCs/>
                <w:sz w:val="21"/>
                <w:szCs w:val="21"/>
                <w:lang w:val="zh-CN"/>
              </w:rPr>
              <w:t>车载</w:t>
            </w:r>
            <w:r>
              <w:rPr>
                <w:rFonts w:ascii="宋体" w:hAnsi="宋体"/>
                <w:bCs/>
                <w:sz w:val="21"/>
                <w:szCs w:val="21"/>
                <w:lang w:val="zh-CN"/>
              </w:rPr>
              <w:t>BMS</w:t>
            </w:r>
            <w:r>
              <w:rPr>
                <w:rFonts w:hint="eastAsia" w:ascii="宋体" w:hAnsi="宋体"/>
                <w:bCs/>
                <w:sz w:val="21"/>
                <w:szCs w:val="21"/>
                <w:lang w:val="zh-CN"/>
              </w:rPr>
              <w:t>变压器产业化建设项目</w:t>
            </w:r>
          </w:p>
        </w:tc>
        <w:tc>
          <w:tcPr>
            <w:tcW w:w="1053" w:type="pct"/>
            <w:tcBorders>
              <w:tl2br w:val="nil"/>
              <w:tr2bl w:val="nil"/>
            </w:tcBorders>
            <w:vAlign w:val="center"/>
          </w:tcPr>
          <w:p w14:paraId="627BC197">
            <w:pPr>
              <w:widowControl/>
              <w:adjustRightInd w:val="0"/>
              <w:snapToGrid w:val="0"/>
              <w:jc w:val="right"/>
              <w:rPr>
                <w:bCs/>
                <w:kern w:val="0"/>
                <w:szCs w:val="21"/>
                <w:lang w:val="zh-CN"/>
              </w:rPr>
            </w:pPr>
            <w:r>
              <w:rPr>
                <w:rFonts w:hint="eastAsia"/>
                <w:bCs/>
                <w:kern w:val="0"/>
                <w:szCs w:val="21"/>
                <w:lang w:val="zh-CN"/>
              </w:rPr>
              <w:t>4,500.00</w:t>
            </w:r>
          </w:p>
        </w:tc>
        <w:tc>
          <w:tcPr>
            <w:tcW w:w="1104" w:type="pct"/>
            <w:tcBorders>
              <w:tl2br w:val="nil"/>
              <w:tr2bl w:val="nil"/>
            </w:tcBorders>
            <w:vAlign w:val="center"/>
          </w:tcPr>
          <w:p w14:paraId="747F67A7">
            <w:pPr>
              <w:widowControl/>
              <w:adjustRightInd w:val="0"/>
              <w:snapToGrid w:val="0"/>
              <w:jc w:val="right"/>
              <w:rPr>
                <w:bCs/>
                <w:kern w:val="0"/>
                <w:szCs w:val="21"/>
                <w:lang w:val="zh-CN"/>
              </w:rPr>
            </w:pPr>
            <w:r>
              <w:rPr>
                <w:rFonts w:hint="eastAsia"/>
                <w:bCs/>
                <w:kern w:val="0"/>
                <w:szCs w:val="21"/>
                <w:lang w:val="zh-CN"/>
              </w:rPr>
              <w:t xml:space="preserve"> 861.39 </w:t>
            </w:r>
            <w:r>
              <w:rPr>
                <w:rFonts w:hint="eastAsia"/>
                <w:bCs/>
                <w:kern w:val="0"/>
                <w:szCs w:val="21"/>
              </w:rPr>
              <w:t xml:space="preserve"> </w:t>
            </w:r>
          </w:p>
        </w:tc>
        <w:tc>
          <w:tcPr>
            <w:tcW w:w="1034" w:type="pct"/>
            <w:tcBorders>
              <w:tl2br w:val="nil"/>
              <w:tr2bl w:val="nil"/>
            </w:tcBorders>
            <w:vAlign w:val="center"/>
          </w:tcPr>
          <w:p w14:paraId="7E12999F">
            <w:pPr>
              <w:widowControl/>
              <w:adjustRightInd w:val="0"/>
              <w:snapToGrid w:val="0"/>
              <w:jc w:val="right"/>
              <w:rPr>
                <w:bCs/>
                <w:kern w:val="0"/>
                <w:szCs w:val="21"/>
                <w:lang w:val="zh-CN"/>
              </w:rPr>
            </w:pPr>
            <w:r>
              <w:rPr>
                <w:rFonts w:hint="eastAsia"/>
                <w:bCs/>
                <w:kern w:val="0"/>
                <w:szCs w:val="21"/>
              </w:rPr>
              <w:t>19.14%</w:t>
            </w:r>
          </w:p>
        </w:tc>
      </w:tr>
      <w:tr w14:paraId="1C28C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3" w:type="pct"/>
            <w:tcBorders>
              <w:tl2br w:val="nil"/>
              <w:tr2bl w:val="nil"/>
            </w:tcBorders>
            <w:vAlign w:val="center"/>
          </w:tcPr>
          <w:p w14:paraId="6D5994E7">
            <w:pPr>
              <w:pStyle w:val="22"/>
              <w:spacing w:line="240" w:lineRule="auto"/>
              <w:ind w:firstLine="0" w:firstLineChars="0"/>
              <w:jc w:val="center"/>
              <w:rPr>
                <w:color w:val="000000"/>
                <w:kern w:val="0"/>
                <w:szCs w:val="21"/>
              </w:rPr>
            </w:pPr>
            <w:r>
              <w:rPr>
                <w:rFonts w:ascii="宋体" w:hAnsi="宋体"/>
                <w:bCs/>
                <w:sz w:val="21"/>
                <w:szCs w:val="21"/>
                <w:lang w:val="zh-CN"/>
              </w:rPr>
              <w:t>3</w:t>
            </w:r>
          </w:p>
        </w:tc>
        <w:tc>
          <w:tcPr>
            <w:tcW w:w="1414" w:type="pct"/>
            <w:tcBorders>
              <w:tl2br w:val="nil"/>
              <w:tr2bl w:val="nil"/>
            </w:tcBorders>
            <w:vAlign w:val="center"/>
          </w:tcPr>
          <w:p w14:paraId="34E8F495">
            <w:pPr>
              <w:pStyle w:val="22"/>
              <w:spacing w:line="240" w:lineRule="auto"/>
              <w:ind w:firstLine="0" w:firstLineChars="0"/>
              <w:jc w:val="center"/>
              <w:rPr>
                <w:color w:val="000000"/>
                <w:kern w:val="0"/>
                <w:szCs w:val="21"/>
              </w:rPr>
            </w:pPr>
            <w:r>
              <w:rPr>
                <w:rFonts w:hint="eastAsia" w:ascii="宋体" w:hAnsi="宋体"/>
                <w:bCs/>
                <w:sz w:val="21"/>
                <w:szCs w:val="21"/>
                <w:lang w:val="zh-CN"/>
              </w:rPr>
              <w:t>安全智能光储系统智能制造项目</w:t>
            </w:r>
          </w:p>
        </w:tc>
        <w:tc>
          <w:tcPr>
            <w:tcW w:w="1053" w:type="pct"/>
            <w:tcBorders>
              <w:tl2br w:val="nil"/>
              <w:tr2bl w:val="nil"/>
            </w:tcBorders>
            <w:vAlign w:val="center"/>
          </w:tcPr>
          <w:p w14:paraId="4FBE82F9">
            <w:pPr>
              <w:widowControl/>
              <w:adjustRightInd w:val="0"/>
              <w:snapToGrid w:val="0"/>
              <w:jc w:val="right"/>
              <w:rPr>
                <w:bCs/>
                <w:kern w:val="0"/>
                <w:szCs w:val="21"/>
                <w:lang w:val="zh-CN"/>
              </w:rPr>
            </w:pPr>
            <w:r>
              <w:rPr>
                <w:rFonts w:hint="eastAsia"/>
                <w:bCs/>
                <w:kern w:val="0"/>
                <w:szCs w:val="21"/>
              </w:rPr>
              <w:t>132</w:t>
            </w:r>
            <w:r>
              <w:rPr>
                <w:rFonts w:hint="eastAsia"/>
                <w:bCs/>
                <w:kern w:val="0"/>
                <w:szCs w:val="21"/>
                <w:lang w:val="zh-CN"/>
              </w:rPr>
              <w:t>.</w:t>
            </w:r>
            <w:r>
              <w:rPr>
                <w:rFonts w:hint="eastAsia"/>
                <w:bCs/>
                <w:kern w:val="0"/>
                <w:szCs w:val="21"/>
              </w:rPr>
              <w:t>34</w:t>
            </w:r>
          </w:p>
        </w:tc>
        <w:tc>
          <w:tcPr>
            <w:tcW w:w="1104" w:type="pct"/>
            <w:tcBorders>
              <w:tl2br w:val="nil"/>
              <w:tr2bl w:val="nil"/>
            </w:tcBorders>
            <w:vAlign w:val="center"/>
          </w:tcPr>
          <w:p w14:paraId="08B225FD">
            <w:pPr>
              <w:widowControl/>
              <w:adjustRightInd w:val="0"/>
              <w:snapToGrid w:val="0"/>
              <w:jc w:val="right"/>
              <w:rPr>
                <w:bCs/>
                <w:kern w:val="0"/>
                <w:szCs w:val="21"/>
                <w:lang w:val="zh-CN"/>
              </w:rPr>
            </w:pPr>
            <w:r>
              <w:rPr>
                <w:rFonts w:hint="eastAsia"/>
                <w:bCs/>
                <w:kern w:val="0"/>
                <w:szCs w:val="21"/>
              </w:rPr>
              <w:t>132</w:t>
            </w:r>
            <w:r>
              <w:rPr>
                <w:rFonts w:hint="eastAsia"/>
                <w:bCs/>
                <w:kern w:val="0"/>
                <w:szCs w:val="21"/>
                <w:lang w:val="zh-CN"/>
              </w:rPr>
              <w:t>.</w:t>
            </w:r>
            <w:r>
              <w:rPr>
                <w:rFonts w:hint="eastAsia"/>
                <w:bCs/>
                <w:kern w:val="0"/>
                <w:szCs w:val="21"/>
              </w:rPr>
              <w:t>34</w:t>
            </w:r>
          </w:p>
        </w:tc>
        <w:tc>
          <w:tcPr>
            <w:tcW w:w="1034" w:type="pct"/>
            <w:tcBorders>
              <w:tl2br w:val="nil"/>
              <w:tr2bl w:val="nil"/>
            </w:tcBorders>
            <w:vAlign w:val="center"/>
          </w:tcPr>
          <w:p w14:paraId="4E627571">
            <w:pPr>
              <w:widowControl/>
              <w:adjustRightInd w:val="0"/>
              <w:snapToGrid w:val="0"/>
              <w:jc w:val="right"/>
              <w:rPr>
                <w:bCs/>
                <w:kern w:val="0"/>
                <w:szCs w:val="21"/>
                <w:lang w:val="zh-CN"/>
              </w:rPr>
            </w:pPr>
            <w:r>
              <w:rPr>
                <w:rFonts w:hint="eastAsia"/>
                <w:bCs/>
                <w:kern w:val="0"/>
                <w:szCs w:val="21"/>
              </w:rPr>
              <w:t>100.00%</w:t>
            </w:r>
          </w:p>
        </w:tc>
      </w:tr>
      <w:tr w14:paraId="5D470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3" w:type="pct"/>
            <w:tcBorders>
              <w:tl2br w:val="nil"/>
              <w:tr2bl w:val="nil"/>
            </w:tcBorders>
            <w:vAlign w:val="center"/>
          </w:tcPr>
          <w:p w14:paraId="6D1C2628">
            <w:pPr>
              <w:pStyle w:val="22"/>
              <w:spacing w:line="240" w:lineRule="auto"/>
              <w:ind w:firstLine="0" w:firstLineChars="0"/>
              <w:jc w:val="center"/>
              <w:rPr>
                <w:color w:val="000000"/>
                <w:kern w:val="0"/>
                <w:szCs w:val="21"/>
              </w:rPr>
            </w:pPr>
            <w:r>
              <w:rPr>
                <w:rFonts w:hint="eastAsia" w:ascii="宋体" w:hAnsi="宋体"/>
                <w:bCs/>
                <w:sz w:val="21"/>
                <w:szCs w:val="21"/>
                <w:lang w:val="zh-CN"/>
              </w:rPr>
              <w:t>4</w:t>
            </w:r>
          </w:p>
        </w:tc>
        <w:tc>
          <w:tcPr>
            <w:tcW w:w="1414" w:type="pct"/>
            <w:tcBorders>
              <w:tl2br w:val="nil"/>
              <w:tr2bl w:val="nil"/>
            </w:tcBorders>
            <w:vAlign w:val="center"/>
          </w:tcPr>
          <w:p w14:paraId="28FC2F2B">
            <w:pPr>
              <w:pStyle w:val="22"/>
              <w:spacing w:line="240" w:lineRule="auto"/>
              <w:ind w:firstLine="0" w:firstLineChars="0"/>
              <w:jc w:val="center"/>
              <w:rPr>
                <w:color w:val="000000"/>
                <w:kern w:val="0"/>
                <w:szCs w:val="21"/>
              </w:rPr>
            </w:pPr>
            <w:r>
              <w:rPr>
                <w:rFonts w:hint="eastAsia" w:ascii="宋体" w:hAnsi="宋体"/>
                <w:bCs/>
                <w:sz w:val="21"/>
                <w:szCs w:val="21"/>
                <w:lang w:val="zh-CN"/>
              </w:rPr>
              <w:t>补充流动资金</w:t>
            </w:r>
          </w:p>
        </w:tc>
        <w:tc>
          <w:tcPr>
            <w:tcW w:w="1053" w:type="pct"/>
            <w:tcBorders>
              <w:tl2br w:val="nil"/>
              <w:tr2bl w:val="nil"/>
            </w:tcBorders>
            <w:vAlign w:val="center"/>
          </w:tcPr>
          <w:p w14:paraId="4BDA44A8">
            <w:pPr>
              <w:widowControl/>
              <w:adjustRightInd w:val="0"/>
              <w:snapToGrid w:val="0"/>
              <w:jc w:val="right"/>
              <w:rPr>
                <w:bCs/>
                <w:kern w:val="0"/>
                <w:szCs w:val="21"/>
                <w:lang w:val="zh-CN"/>
              </w:rPr>
            </w:pPr>
            <w:r>
              <w:rPr>
                <w:rFonts w:hint="eastAsia"/>
                <w:bCs/>
                <w:kern w:val="0"/>
                <w:szCs w:val="21"/>
                <w:lang w:val="zh-CN"/>
              </w:rPr>
              <w:t>10,800.00</w:t>
            </w:r>
          </w:p>
        </w:tc>
        <w:tc>
          <w:tcPr>
            <w:tcW w:w="1104" w:type="pct"/>
            <w:tcBorders>
              <w:tl2br w:val="nil"/>
              <w:tr2bl w:val="nil"/>
            </w:tcBorders>
            <w:vAlign w:val="center"/>
          </w:tcPr>
          <w:p w14:paraId="18875418">
            <w:pPr>
              <w:widowControl/>
              <w:adjustRightInd w:val="0"/>
              <w:snapToGrid w:val="0"/>
              <w:jc w:val="right"/>
              <w:rPr>
                <w:bCs/>
                <w:kern w:val="0"/>
                <w:szCs w:val="21"/>
                <w:lang w:val="zh-CN"/>
              </w:rPr>
            </w:pPr>
            <w:r>
              <w:rPr>
                <w:rFonts w:hint="eastAsia"/>
                <w:bCs/>
                <w:kern w:val="0"/>
                <w:szCs w:val="21"/>
                <w:lang w:val="zh-CN"/>
              </w:rPr>
              <w:t>10,80</w:t>
            </w:r>
            <w:r>
              <w:rPr>
                <w:rFonts w:hint="eastAsia"/>
                <w:bCs/>
                <w:kern w:val="0"/>
                <w:szCs w:val="21"/>
              </w:rPr>
              <w:t>6</w:t>
            </w:r>
            <w:r>
              <w:rPr>
                <w:rFonts w:hint="eastAsia"/>
                <w:bCs/>
                <w:kern w:val="0"/>
                <w:szCs w:val="21"/>
                <w:lang w:val="zh-CN"/>
              </w:rPr>
              <w:t>.</w:t>
            </w:r>
            <w:r>
              <w:rPr>
                <w:rFonts w:hint="eastAsia"/>
                <w:bCs/>
                <w:kern w:val="0"/>
                <w:szCs w:val="21"/>
              </w:rPr>
              <w:t>22</w:t>
            </w:r>
          </w:p>
        </w:tc>
        <w:tc>
          <w:tcPr>
            <w:tcW w:w="1034" w:type="pct"/>
            <w:tcBorders>
              <w:tl2br w:val="nil"/>
              <w:tr2bl w:val="nil"/>
            </w:tcBorders>
            <w:vAlign w:val="center"/>
          </w:tcPr>
          <w:p w14:paraId="574C05B3">
            <w:pPr>
              <w:widowControl/>
              <w:adjustRightInd w:val="0"/>
              <w:snapToGrid w:val="0"/>
              <w:jc w:val="right"/>
              <w:rPr>
                <w:bCs/>
                <w:kern w:val="0"/>
                <w:szCs w:val="21"/>
                <w:lang w:val="zh-CN"/>
              </w:rPr>
            </w:pPr>
            <w:r>
              <w:rPr>
                <w:rFonts w:hint="eastAsia"/>
                <w:bCs/>
                <w:kern w:val="0"/>
                <w:szCs w:val="21"/>
              </w:rPr>
              <w:t>100.06%</w:t>
            </w:r>
          </w:p>
        </w:tc>
      </w:tr>
      <w:tr w14:paraId="384EF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3" w:type="pct"/>
            <w:tcBorders>
              <w:tl2br w:val="nil"/>
              <w:tr2bl w:val="nil"/>
            </w:tcBorders>
            <w:vAlign w:val="center"/>
          </w:tcPr>
          <w:p w14:paraId="02417E9E">
            <w:pPr>
              <w:pStyle w:val="22"/>
              <w:spacing w:line="240" w:lineRule="auto"/>
              <w:ind w:firstLine="0" w:firstLineChars="0"/>
              <w:jc w:val="center"/>
              <w:rPr>
                <w:color w:val="000000"/>
                <w:kern w:val="0"/>
                <w:szCs w:val="21"/>
              </w:rPr>
            </w:pPr>
            <w:r>
              <w:rPr>
                <w:rFonts w:hint="eastAsia" w:ascii="宋体" w:hAnsi="宋体"/>
                <w:bCs/>
                <w:sz w:val="21"/>
                <w:szCs w:val="21"/>
              </w:rPr>
              <w:t>5</w:t>
            </w:r>
          </w:p>
        </w:tc>
        <w:tc>
          <w:tcPr>
            <w:tcW w:w="1414" w:type="pct"/>
            <w:tcBorders>
              <w:tl2br w:val="nil"/>
              <w:tr2bl w:val="nil"/>
            </w:tcBorders>
            <w:vAlign w:val="center"/>
          </w:tcPr>
          <w:p w14:paraId="6E09B630">
            <w:pPr>
              <w:pStyle w:val="22"/>
              <w:spacing w:line="240" w:lineRule="auto"/>
              <w:ind w:firstLine="0" w:firstLineChars="0"/>
              <w:jc w:val="center"/>
              <w:rPr>
                <w:color w:val="000000"/>
                <w:kern w:val="0"/>
                <w:szCs w:val="21"/>
              </w:rPr>
            </w:pPr>
            <w:r>
              <w:rPr>
                <w:rFonts w:hint="eastAsia" w:ascii="宋体" w:hAnsi="宋体"/>
                <w:bCs/>
                <w:sz w:val="21"/>
                <w:szCs w:val="21"/>
                <w:lang w:val="zh-CN"/>
              </w:rPr>
              <w:t>光模块及光器件产品改建项目</w:t>
            </w:r>
          </w:p>
        </w:tc>
        <w:tc>
          <w:tcPr>
            <w:tcW w:w="1053" w:type="pct"/>
            <w:tcBorders>
              <w:tl2br w:val="nil"/>
              <w:tr2bl w:val="nil"/>
            </w:tcBorders>
            <w:vAlign w:val="center"/>
          </w:tcPr>
          <w:p w14:paraId="48673BD8">
            <w:pPr>
              <w:widowControl/>
              <w:adjustRightInd w:val="0"/>
              <w:snapToGrid w:val="0"/>
              <w:jc w:val="right"/>
              <w:rPr>
                <w:bCs/>
                <w:kern w:val="0"/>
                <w:szCs w:val="21"/>
                <w:lang w:val="zh-CN"/>
              </w:rPr>
            </w:pPr>
            <w:r>
              <w:rPr>
                <w:rFonts w:hint="eastAsia"/>
                <w:bCs/>
                <w:kern w:val="0"/>
                <w:szCs w:val="21"/>
                <w:lang w:val="zh-CN"/>
              </w:rPr>
              <w:t>12,567.66</w:t>
            </w:r>
          </w:p>
        </w:tc>
        <w:tc>
          <w:tcPr>
            <w:tcW w:w="1104" w:type="pct"/>
            <w:tcBorders>
              <w:tl2br w:val="nil"/>
              <w:tr2bl w:val="nil"/>
            </w:tcBorders>
            <w:vAlign w:val="center"/>
          </w:tcPr>
          <w:p w14:paraId="7AFDD185">
            <w:pPr>
              <w:widowControl/>
              <w:adjustRightInd w:val="0"/>
              <w:snapToGrid w:val="0"/>
              <w:jc w:val="right"/>
              <w:rPr>
                <w:bCs/>
                <w:kern w:val="0"/>
                <w:szCs w:val="21"/>
                <w:lang w:val="zh-CN"/>
              </w:rPr>
            </w:pPr>
            <w:r>
              <w:rPr>
                <w:rFonts w:hint="eastAsia"/>
                <w:bCs/>
                <w:kern w:val="0"/>
                <w:szCs w:val="21"/>
              </w:rPr>
              <w:t>11.61</w:t>
            </w:r>
          </w:p>
        </w:tc>
        <w:tc>
          <w:tcPr>
            <w:tcW w:w="1034" w:type="pct"/>
            <w:tcBorders>
              <w:tl2br w:val="nil"/>
              <w:tr2bl w:val="nil"/>
            </w:tcBorders>
            <w:vAlign w:val="center"/>
          </w:tcPr>
          <w:p w14:paraId="3C73568F">
            <w:pPr>
              <w:widowControl/>
              <w:adjustRightInd w:val="0"/>
              <w:snapToGrid w:val="0"/>
              <w:jc w:val="right"/>
              <w:rPr>
                <w:bCs/>
                <w:kern w:val="0"/>
                <w:szCs w:val="21"/>
                <w:lang w:val="zh-CN"/>
              </w:rPr>
            </w:pPr>
            <w:r>
              <w:rPr>
                <w:rFonts w:hint="eastAsia"/>
                <w:bCs/>
                <w:kern w:val="0"/>
                <w:szCs w:val="21"/>
              </w:rPr>
              <w:t>0.09%</w:t>
            </w:r>
          </w:p>
        </w:tc>
      </w:tr>
      <w:tr w14:paraId="6D1DE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07" w:type="pct"/>
            <w:gridSpan w:val="2"/>
            <w:tcBorders>
              <w:tl2br w:val="nil"/>
              <w:tr2bl w:val="nil"/>
            </w:tcBorders>
            <w:vAlign w:val="center"/>
          </w:tcPr>
          <w:p w14:paraId="2B063D67">
            <w:pPr>
              <w:pStyle w:val="22"/>
              <w:spacing w:line="240" w:lineRule="auto"/>
              <w:ind w:firstLine="0" w:firstLineChars="0"/>
              <w:jc w:val="center"/>
              <w:rPr>
                <w:rFonts w:hint="eastAsia" w:ascii="宋体" w:hAnsi="宋体"/>
                <w:b/>
                <w:sz w:val="21"/>
                <w:szCs w:val="21"/>
              </w:rPr>
            </w:pPr>
            <w:r>
              <w:rPr>
                <w:rFonts w:hint="eastAsia" w:ascii="宋体" w:hAnsi="宋体"/>
                <w:b/>
                <w:sz w:val="21"/>
                <w:szCs w:val="21"/>
              </w:rPr>
              <w:t>合计</w:t>
            </w:r>
          </w:p>
        </w:tc>
        <w:tc>
          <w:tcPr>
            <w:tcW w:w="1053" w:type="pct"/>
            <w:tcBorders>
              <w:tl2br w:val="nil"/>
              <w:tr2bl w:val="nil"/>
            </w:tcBorders>
            <w:vAlign w:val="center"/>
          </w:tcPr>
          <w:p w14:paraId="6CB5FDEE">
            <w:pPr>
              <w:widowControl/>
              <w:adjustRightInd w:val="0"/>
              <w:snapToGrid w:val="0"/>
              <w:jc w:val="right"/>
              <w:rPr>
                <w:b/>
                <w:kern w:val="0"/>
                <w:szCs w:val="21"/>
                <w:lang w:val="zh-CN"/>
              </w:rPr>
            </w:pPr>
            <w:r>
              <w:rPr>
                <w:rFonts w:hint="eastAsia"/>
                <w:b/>
                <w:kern w:val="0"/>
                <w:szCs w:val="21"/>
                <w:lang w:val="zh-CN"/>
              </w:rPr>
              <w:t>40,759.47</w:t>
            </w:r>
          </w:p>
        </w:tc>
        <w:tc>
          <w:tcPr>
            <w:tcW w:w="1104" w:type="pct"/>
            <w:tcBorders>
              <w:tl2br w:val="nil"/>
              <w:tr2bl w:val="nil"/>
            </w:tcBorders>
            <w:vAlign w:val="center"/>
          </w:tcPr>
          <w:p w14:paraId="02E454CF">
            <w:pPr>
              <w:widowControl/>
              <w:adjustRightInd w:val="0"/>
              <w:snapToGrid w:val="0"/>
              <w:jc w:val="right"/>
              <w:rPr>
                <w:b/>
                <w:kern w:val="0"/>
                <w:szCs w:val="21"/>
                <w:lang w:val="zh-CN"/>
              </w:rPr>
            </w:pPr>
            <w:r>
              <w:rPr>
                <w:rFonts w:hint="eastAsia"/>
                <w:b/>
                <w:kern w:val="0"/>
                <w:szCs w:val="21"/>
                <w:lang w:val="zh-CN"/>
              </w:rPr>
              <w:t xml:space="preserve"> 18,779.0</w:t>
            </w:r>
            <w:r>
              <w:rPr>
                <w:rFonts w:hint="eastAsia"/>
                <w:b/>
                <w:kern w:val="0"/>
                <w:szCs w:val="21"/>
              </w:rPr>
              <w:t>3</w:t>
            </w:r>
            <w:r>
              <w:rPr>
                <w:rFonts w:hint="eastAsia"/>
                <w:b/>
                <w:kern w:val="0"/>
                <w:szCs w:val="21"/>
                <w:lang w:val="zh-CN"/>
              </w:rPr>
              <w:t xml:space="preserve"> </w:t>
            </w:r>
          </w:p>
        </w:tc>
        <w:tc>
          <w:tcPr>
            <w:tcW w:w="1034" w:type="pct"/>
            <w:tcBorders>
              <w:tl2br w:val="nil"/>
              <w:tr2bl w:val="nil"/>
            </w:tcBorders>
          </w:tcPr>
          <w:p w14:paraId="56CF5590">
            <w:pPr>
              <w:widowControl/>
              <w:spacing w:line="480" w:lineRule="auto"/>
              <w:jc w:val="right"/>
            </w:pPr>
          </w:p>
        </w:tc>
      </w:tr>
    </w:tbl>
    <w:p w14:paraId="356AA6FD">
      <w:pPr>
        <w:spacing w:before="156" w:beforeLines="50" w:after="156" w:afterLines="50" w:line="360" w:lineRule="auto"/>
        <w:ind w:firstLine="482" w:firstLineChars="200"/>
        <w:jc w:val="left"/>
        <w:rPr>
          <w:b/>
          <w:sz w:val="24"/>
        </w:rPr>
      </w:pPr>
    </w:p>
    <w:p w14:paraId="3AFC3308">
      <w:pPr>
        <w:spacing w:line="360" w:lineRule="auto"/>
        <w:ind w:firstLine="482" w:firstLineChars="200"/>
        <w:jc w:val="left"/>
        <w:rPr>
          <w:b/>
          <w:sz w:val="24"/>
        </w:rPr>
      </w:pPr>
      <w:r>
        <w:rPr>
          <w:rFonts w:hint="eastAsia"/>
          <w:b/>
          <w:sz w:val="24"/>
        </w:rPr>
        <w:t>三、本次部分募集资金投资项目延期的情况及原因</w:t>
      </w:r>
    </w:p>
    <w:p w14:paraId="1436248C">
      <w:pPr>
        <w:spacing w:line="360" w:lineRule="auto"/>
        <w:ind w:firstLine="480" w:firstLineChars="200"/>
        <w:jc w:val="left"/>
        <w:rPr>
          <w:rFonts w:eastAsiaTheme="minorEastAsia"/>
          <w:bCs/>
          <w:sz w:val="24"/>
        </w:rPr>
      </w:pPr>
      <w:r>
        <w:rPr>
          <w:rFonts w:hint="eastAsia" w:ascii="宋体" w:hAnsi="宋体" w:cs="宋体"/>
          <w:bCs/>
          <w:sz w:val="24"/>
        </w:rPr>
        <w:t>1、本次部分</w:t>
      </w:r>
      <w:r>
        <w:rPr>
          <w:rFonts w:hint="eastAsia"/>
          <w:bCs/>
          <w:sz w:val="24"/>
        </w:rPr>
        <w:t>募集资金投资项目延期的情况</w:t>
      </w:r>
    </w:p>
    <w:p w14:paraId="18CE1E45">
      <w:pPr>
        <w:spacing w:line="360" w:lineRule="auto"/>
        <w:ind w:firstLine="480" w:firstLineChars="200"/>
        <w:jc w:val="left"/>
        <w:rPr>
          <w:sz w:val="24"/>
        </w:rPr>
      </w:pPr>
      <w:r>
        <w:rPr>
          <w:rFonts w:hint="eastAsia"/>
          <w:sz w:val="24"/>
        </w:rPr>
        <w:t>公司经审慎评估，决定将部分募集资金投资项目达到预定可使用状态日期调整如下：</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08"/>
        <w:gridCol w:w="2695"/>
        <w:gridCol w:w="2319"/>
      </w:tblGrid>
      <w:tr w14:paraId="4C0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58" w:type="pct"/>
            <w:vMerge w:val="restart"/>
            <w:tcBorders>
              <w:tl2br w:val="nil"/>
              <w:tr2bl w:val="nil"/>
            </w:tcBorders>
            <w:vAlign w:val="center"/>
          </w:tcPr>
          <w:p w14:paraId="7CB312C7">
            <w:pPr>
              <w:jc w:val="center"/>
              <w:rPr>
                <w:b/>
                <w:bCs/>
                <w:color w:val="000000"/>
                <w:kern w:val="0"/>
                <w:szCs w:val="21"/>
              </w:rPr>
            </w:pPr>
            <w:r>
              <w:rPr>
                <w:rFonts w:hint="eastAsia" w:ascii="宋体" w:hAnsi="宋体"/>
                <w:b/>
                <w:bCs/>
                <w:szCs w:val="21"/>
                <w:lang w:val="zh-CN"/>
              </w:rPr>
              <w:t>项目名称</w:t>
            </w:r>
          </w:p>
        </w:tc>
        <w:tc>
          <w:tcPr>
            <w:tcW w:w="2941" w:type="pct"/>
            <w:gridSpan w:val="2"/>
            <w:tcBorders>
              <w:tl2br w:val="nil"/>
              <w:tr2bl w:val="nil"/>
            </w:tcBorders>
            <w:vAlign w:val="center"/>
          </w:tcPr>
          <w:p w14:paraId="52825A45">
            <w:pPr>
              <w:widowControl/>
              <w:jc w:val="center"/>
              <w:rPr>
                <w:b/>
                <w:bCs/>
                <w:color w:val="000000"/>
                <w:kern w:val="0"/>
                <w:szCs w:val="21"/>
              </w:rPr>
            </w:pPr>
            <w:r>
              <w:rPr>
                <w:rFonts w:hint="eastAsia"/>
                <w:b/>
                <w:bCs/>
                <w:color w:val="000000"/>
                <w:kern w:val="0"/>
                <w:szCs w:val="21"/>
              </w:rPr>
              <w:t>项目达到预定可使用状态日期</w:t>
            </w:r>
          </w:p>
        </w:tc>
      </w:tr>
      <w:tr w14:paraId="7FBE3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58" w:type="pct"/>
            <w:vMerge w:val="continue"/>
            <w:tcBorders>
              <w:tl2br w:val="nil"/>
              <w:tr2bl w:val="nil"/>
            </w:tcBorders>
            <w:vAlign w:val="center"/>
          </w:tcPr>
          <w:p w14:paraId="2CA9EB79">
            <w:pPr>
              <w:widowControl/>
              <w:jc w:val="center"/>
              <w:rPr>
                <w:b/>
                <w:bCs/>
                <w:color w:val="000000"/>
                <w:kern w:val="0"/>
                <w:szCs w:val="21"/>
              </w:rPr>
            </w:pPr>
          </w:p>
        </w:tc>
        <w:tc>
          <w:tcPr>
            <w:tcW w:w="1581" w:type="pct"/>
            <w:tcBorders>
              <w:tl2br w:val="nil"/>
              <w:tr2bl w:val="nil"/>
            </w:tcBorders>
            <w:vAlign w:val="center"/>
          </w:tcPr>
          <w:p w14:paraId="1DA6731A">
            <w:pPr>
              <w:widowControl/>
              <w:jc w:val="center"/>
              <w:rPr>
                <w:b/>
                <w:bCs/>
                <w:color w:val="000000"/>
                <w:kern w:val="0"/>
                <w:szCs w:val="21"/>
              </w:rPr>
            </w:pPr>
            <w:r>
              <w:rPr>
                <w:rFonts w:hint="eastAsia"/>
                <w:b/>
                <w:bCs/>
                <w:color w:val="000000"/>
                <w:kern w:val="0"/>
                <w:szCs w:val="21"/>
              </w:rPr>
              <w:t>原定时间</w:t>
            </w:r>
          </w:p>
        </w:tc>
        <w:tc>
          <w:tcPr>
            <w:tcW w:w="1360" w:type="pct"/>
            <w:tcBorders>
              <w:tl2br w:val="nil"/>
              <w:tr2bl w:val="nil"/>
            </w:tcBorders>
            <w:vAlign w:val="center"/>
          </w:tcPr>
          <w:p w14:paraId="30543520">
            <w:pPr>
              <w:widowControl/>
              <w:jc w:val="center"/>
              <w:rPr>
                <w:b/>
                <w:bCs/>
                <w:color w:val="000000"/>
                <w:kern w:val="0"/>
                <w:szCs w:val="21"/>
              </w:rPr>
            </w:pPr>
            <w:r>
              <w:rPr>
                <w:rFonts w:hint="eastAsia"/>
                <w:b/>
                <w:bCs/>
                <w:color w:val="000000"/>
                <w:kern w:val="0"/>
                <w:szCs w:val="21"/>
              </w:rPr>
              <w:t>本次延期后时间</w:t>
            </w:r>
          </w:p>
        </w:tc>
      </w:tr>
      <w:tr w14:paraId="6313F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8" w:type="pct"/>
            <w:tcBorders>
              <w:bottom w:val="single" w:color="auto" w:sz="12" w:space="0"/>
            </w:tcBorders>
            <w:vAlign w:val="center"/>
          </w:tcPr>
          <w:p w14:paraId="3EED22EF">
            <w:pPr>
              <w:pStyle w:val="22"/>
              <w:spacing w:line="240" w:lineRule="auto"/>
              <w:ind w:firstLine="0" w:firstLineChars="0"/>
              <w:jc w:val="center"/>
              <w:rPr>
                <w:color w:val="000000"/>
                <w:kern w:val="0"/>
                <w:szCs w:val="21"/>
              </w:rPr>
            </w:pPr>
            <w:r>
              <w:rPr>
                <w:rFonts w:hint="eastAsia" w:ascii="宋体" w:hAnsi="宋体"/>
                <w:bCs/>
                <w:sz w:val="21"/>
                <w:szCs w:val="21"/>
                <w:lang w:val="zh-CN"/>
              </w:rPr>
              <w:t>光伏储能和片式通信磁性元器件智能制造项目</w:t>
            </w:r>
          </w:p>
        </w:tc>
        <w:tc>
          <w:tcPr>
            <w:tcW w:w="1581" w:type="pct"/>
            <w:tcBorders>
              <w:bottom w:val="single" w:color="auto" w:sz="12" w:space="0"/>
            </w:tcBorders>
            <w:vAlign w:val="center"/>
          </w:tcPr>
          <w:p w14:paraId="3B287C43">
            <w:pPr>
              <w:spacing w:line="240" w:lineRule="atLeast"/>
              <w:jc w:val="center"/>
              <w:rPr>
                <w:color w:val="000000"/>
                <w:kern w:val="0"/>
                <w:szCs w:val="21"/>
              </w:rPr>
            </w:pPr>
            <w:r>
              <w:rPr>
                <w:rFonts w:asciiTheme="minorEastAsia" w:hAnsiTheme="minorEastAsia" w:eastAsiaTheme="minorEastAsia"/>
                <w:kern w:val="0"/>
                <w:sz w:val="18"/>
                <w:szCs w:val="18"/>
              </w:rPr>
              <w:t>202</w:t>
            </w:r>
            <w:r>
              <w:rPr>
                <w:rFonts w:hint="eastAsia" w:asciiTheme="minorEastAsia" w:hAnsiTheme="minorEastAsia" w:eastAsiaTheme="minorEastAsia"/>
                <w:kern w:val="0"/>
                <w:sz w:val="18"/>
                <w:szCs w:val="18"/>
              </w:rPr>
              <w:t>5年6月4日</w:t>
            </w:r>
          </w:p>
        </w:tc>
        <w:tc>
          <w:tcPr>
            <w:tcW w:w="1360" w:type="pct"/>
            <w:tcBorders>
              <w:bottom w:val="single" w:color="auto" w:sz="12" w:space="0"/>
            </w:tcBorders>
            <w:vAlign w:val="center"/>
          </w:tcPr>
          <w:p w14:paraId="032991C6">
            <w:pPr>
              <w:widowControl/>
              <w:jc w:val="center"/>
              <w:rPr>
                <w:color w:val="000000"/>
                <w:kern w:val="0"/>
                <w:szCs w:val="21"/>
              </w:rPr>
            </w:pPr>
            <w:r>
              <w:rPr>
                <w:rFonts w:asciiTheme="minorEastAsia" w:hAnsiTheme="minorEastAsia" w:eastAsiaTheme="minorEastAsia"/>
                <w:kern w:val="0"/>
                <w:sz w:val="18"/>
                <w:szCs w:val="18"/>
              </w:rPr>
              <w:t>202</w:t>
            </w:r>
            <w:r>
              <w:rPr>
                <w:rFonts w:hint="eastAsia" w:asciiTheme="minorEastAsia" w:hAnsiTheme="minorEastAsia" w:eastAsiaTheme="minorEastAsia"/>
                <w:kern w:val="0"/>
                <w:sz w:val="18"/>
                <w:szCs w:val="18"/>
              </w:rPr>
              <w:t>6年</w:t>
            </w:r>
            <w:r>
              <w:rPr>
                <w:rFonts w:hint="eastAsia" w:asciiTheme="minorEastAsia" w:hAnsiTheme="minorEastAsia"/>
                <w:kern w:val="0"/>
                <w:sz w:val="18"/>
                <w:szCs w:val="18"/>
              </w:rPr>
              <w:t>6</w:t>
            </w:r>
            <w:r>
              <w:rPr>
                <w:rFonts w:hint="eastAsia" w:asciiTheme="minorEastAsia" w:hAnsiTheme="minorEastAsia" w:eastAsiaTheme="minorEastAsia"/>
                <w:kern w:val="0"/>
                <w:sz w:val="18"/>
                <w:szCs w:val="18"/>
              </w:rPr>
              <w:t>月3</w:t>
            </w:r>
            <w:r>
              <w:rPr>
                <w:rFonts w:hint="eastAsia" w:asciiTheme="minorEastAsia" w:hAnsiTheme="minorEastAsia"/>
                <w:kern w:val="0"/>
                <w:sz w:val="18"/>
                <w:szCs w:val="18"/>
              </w:rPr>
              <w:t>0</w:t>
            </w:r>
            <w:r>
              <w:rPr>
                <w:rFonts w:hint="eastAsia" w:asciiTheme="minorEastAsia" w:hAnsiTheme="minorEastAsia" w:eastAsiaTheme="minorEastAsia"/>
                <w:kern w:val="0"/>
                <w:sz w:val="18"/>
                <w:szCs w:val="18"/>
              </w:rPr>
              <w:t>日</w:t>
            </w:r>
          </w:p>
        </w:tc>
      </w:tr>
    </w:tbl>
    <w:p w14:paraId="484EA00C">
      <w:pPr>
        <w:spacing w:line="360" w:lineRule="auto"/>
        <w:ind w:firstLine="480" w:firstLineChars="200"/>
        <w:jc w:val="left"/>
        <w:rPr>
          <w:bCs/>
          <w:sz w:val="24"/>
        </w:rPr>
      </w:pPr>
      <w:r>
        <w:rPr>
          <w:rFonts w:hint="eastAsia" w:ascii="宋体" w:hAnsi="宋体" w:cs="宋体"/>
          <w:bCs/>
          <w:sz w:val="24"/>
        </w:rPr>
        <w:t>2、本次部分募集</w:t>
      </w:r>
      <w:r>
        <w:rPr>
          <w:rFonts w:hint="eastAsia"/>
          <w:bCs/>
          <w:sz w:val="24"/>
        </w:rPr>
        <w:t>资金投资项目延期的原因</w:t>
      </w:r>
    </w:p>
    <w:p w14:paraId="139A40AC">
      <w:pPr>
        <w:spacing w:line="360" w:lineRule="auto"/>
        <w:ind w:firstLine="480" w:firstLineChars="200"/>
        <w:rPr>
          <w:rFonts w:hint="eastAsia" w:ascii="宋体" w:hAnsi="宋体" w:cs="宋体"/>
          <w:sz w:val="24"/>
        </w:rPr>
      </w:pPr>
      <w:r>
        <w:rPr>
          <w:rFonts w:hint="eastAsia" w:ascii="宋体" w:hAnsi="宋体" w:cs="宋体"/>
          <w:sz w:val="24"/>
        </w:rPr>
        <w:t>公司募集资金投资项目于2022年立项，当时是基于公司发展战略、业务开展情况和行业发展趋势等因素而制定的，已在前期经过了必要的可行性论证。然而，在项目实施过程中，由于经济环境、市场情况等外部环境的变化影响，公司审慎控制了募集资金投资项目的投资进度，导致项目的实际投资进度较原计划有所延后。为了确保公司募集资金投资项目能够稳步实施，有效降低募集资金使用风险，切实保障资金的安全、合理运用，公司本着对投资者负责及谨慎投资的原则，结合目前项目实际开展情况，经过慎重研究与评估，拟对上述部分募集资金投资项目达到预定可使用状态日期进行延期，预计延期至2026年6月30日。</w:t>
      </w:r>
    </w:p>
    <w:p w14:paraId="4BAA42B6">
      <w:pPr>
        <w:spacing w:line="360" w:lineRule="auto"/>
        <w:ind w:firstLine="480" w:firstLineChars="200"/>
        <w:rPr>
          <w:sz w:val="24"/>
        </w:rPr>
      </w:pPr>
    </w:p>
    <w:p w14:paraId="392CF00E">
      <w:pPr>
        <w:spacing w:line="360" w:lineRule="auto"/>
        <w:ind w:firstLine="482" w:firstLineChars="200"/>
        <w:jc w:val="left"/>
        <w:rPr>
          <w:b/>
          <w:sz w:val="24"/>
        </w:rPr>
      </w:pPr>
      <w:r>
        <w:rPr>
          <w:rFonts w:hint="eastAsia"/>
          <w:b/>
          <w:sz w:val="24"/>
        </w:rPr>
        <w:t>四、本次部分募集资金投资项目延期对公司的影响</w:t>
      </w:r>
    </w:p>
    <w:p w14:paraId="60D9DA20">
      <w:pPr>
        <w:spacing w:line="360" w:lineRule="auto"/>
        <w:ind w:firstLine="480" w:firstLineChars="200"/>
        <w:rPr>
          <w:rFonts w:hint="eastAsia" w:asciiTheme="minorEastAsia" w:hAnsiTheme="minorEastAsia"/>
          <w:bCs/>
          <w:sz w:val="24"/>
          <w:szCs w:val="24"/>
        </w:rPr>
      </w:pPr>
      <w:r>
        <w:rPr>
          <w:rFonts w:hint="eastAsia" w:ascii="宋体" w:hAnsi="宋体"/>
          <w:sz w:val="24"/>
        </w:rPr>
        <w:t>公司本次对部分募集资金投资项目进度的</w:t>
      </w:r>
      <w:r>
        <w:rPr>
          <w:rFonts w:ascii="宋体" w:hAnsi="宋体"/>
          <w:sz w:val="24"/>
        </w:rPr>
        <w:t>调整</w:t>
      </w:r>
      <w:r>
        <w:rPr>
          <w:rFonts w:hint="eastAsia"/>
          <w:sz w:val="24"/>
        </w:rPr>
        <w:t>是根据公司实际情况做出的谨慎决定，仅涉及</w:t>
      </w:r>
      <w:r>
        <w:rPr>
          <w:rFonts w:hint="eastAsia" w:ascii="宋体" w:hAnsi="宋体"/>
          <w:sz w:val="24"/>
        </w:rPr>
        <w:t>募集资金投资项目</w:t>
      </w:r>
      <w:r>
        <w:rPr>
          <w:rFonts w:hint="eastAsia"/>
          <w:sz w:val="24"/>
        </w:rPr>
        <w:t>进度的变化，未调整项目的投资总额和建设规模，不涉及项目实施主体、实施方式、投资总额的变更，不存在改变或变相改变募集资金投向和其他损害股东利益的情形。调整募集资金投资项目进度是为了更好的提高</w:t>
      </w:r>
      <w:r>
        <w:rPr>
          <w:rFonts w:hint="eastAsia" w:asciiTheme="minorEastAsia" w:hAnsiTheme="minorEastAsia"/>
          <w:sz w:val="24"/>
        </w:rPr>
        <w:t>募集资金投资项目</w:t>
      </w:r>
      <w:r>
        <w:rPr>
          <w:rFonts w:hint="eastAsia"/>
          <w:sz w:val="24"/>
        </w:rPr>
        <w:t>建设质量和合理有效的配置资源，并与现阶段公司的生产经营状况相匹配。因此，项目延期不会对公司目前的生产经营造成不利影响，符合公司的长远发展规划与股东的长远利益。公司将严格遵守相关法律法规和规范性文件的规定，加强对募集资金使用的监督，确保募集资金的使用合法、有效。</w:t>
      </w:r>
    </w:p>
    <w:p w14:paraId="67EF5BC9">
      <w:pPr>
        <w:spacing w:line="360" w:lineRule="auto"/>
        <w:ind w:firstLine="480" w:firstLineChars="200"/>
        <w:rPr>
          <w:rFonts w:hint="eastAsia" w:ascii="宋体" w:hAnsi="宋体"/>
          <w:sz w:val="24"/>
          <w:szCs w:val="24"/>
        </w:rPr>
      </w:pPr>
    </w:p>
    <w:p w14:paraId="42615463">
      <w:pPr>
        <w:spacing w:line="360" w:lineRule="auto"/>
        <w:ind w:firstLine="470" w:firstLineChars="195"/>
        <w:rPr>
          <w:b/>
          <w:sz w:val="24"/>
          <w:szCs w:val="24"/>
        </w:rPr>
      </w:pPr>
      <w:r>
        <w:rPr>
          <w:rFonts w:hint="eastAsia"/>
          <w:b/>
          <w:sz w:val="24"/>
          <w:szCs w:val="24"/>
        </w:rPr>
        <w:t>五、</w:t>
      </w:r>
      <w:r>
        <w:rPr>
          <w:b/>
          <w:sz w:val="24"/>
          <w:szCs w:val="24"/>
        </w:rPr>
        <w:t>履行的审</w:t>
      </w:r>
      <w:r>
        <w:rPr>
          <w:rFonts w:hint="eastAsia"/>
          <w:b/>
          <w:sz w:val="24"/>
          <w:szCs w:val="24"/>
        </w:rPr>
        <w:t>议</w:t>
      </w:r>
      <w:r>
        <w:rPr>
          <w:b/>
          <w:sz w:val="24"/>
          <w:szCs w:val="24"/>
        </w:rPr>
        <w:t>程序及相关意见</w:t>
      </w:r>
    </w:p>
    <w:p w14:paraId="7ED36B93">
      <w:pPr>
        <w:spacing w:line="360" w:lineRule="auto"/>
        <w:ind w:firstLine="480" w:firstLineChars="200"/>
        <w:rPr>
          <w:b/>
          <w:sz w:val="24"/>
          <w:szCs w:val="24"/>
        </w:rPr>
      </w:pPr>
      <w:r>
        <w:rPr>
          <w:rFonts w:hint="eastAsia"/>
          <w:bCs/>
          <w:sz w:val="24"/>
          <w:szCs w:val="24"/>
        </w:rPr>
        <w:t>（一）董事会审议情况</w:t>
      </w:r>
    </w:p>
    <w:p w14:paraId="489743B9">
      <w:pPr>
        <w:spacing w:line="360" w:lineRule="auto"/>
        <w:ind w:firstLine="480" w:firstLineChars="200"/>
        <w:rPr>
          <w:rFonts w:hint="eastAsia" w:ascii="宋体" w:hAnsi="宋体" w:cs="宋体"/>
          <w:sz w:val="24"/>
          <w:szCs w:val="24"/>
        </w:rPr>
      </w:pPr>
      <w:r>
        <w:rPr>
          <w:rFonts w:hint="eastAsia" w:ascii="宋体" w:hAnsi="宋体" w:cs="宋体"/>
          <w:sz w:val="24"/>
          <w:szCs w:val="24"/>
        </w:rPr>
        <w:t>2025年</w:t>
      </w:r>
      <w:r>
        <w:rPr>
          <w:rFonts w:ascii="宋体" w:hAnsi="宋体" w:cs="宋体"/>
          <w:sz w:val="24"/>
          <w:szCs w:val="24"/>
        </w:rPr>
        <w:t>4</w:t>
      </w:r>
      <w:r>
        <w:rPr>
          <w:rFonts w:hint="eastAsia" w:ascii="宋体" w:hAnsi="宋体" w:cs="宋体"/>
          <w:sz w:val="24"/>
          <w:szCs w:val="24"/>
        </w:rPr>
        <w:t>月18日，公司第五届董事会第八次会议审议通过了《关于部分募集资金投资项目延期的议案》。公司基于“光伏储能和片式通信磁性元器件智能制造项目”实际建设情况和投资进度，对其投资建设完成时间进行延期调整，符合公司实际情况，不存在改变或变相改变募集资金用途和损害股东利益的情形。</w:t>
      </w:r>
    </w:p>
    <w:p w14:paraId="59B2F37F">
      <w:pPr>
        <w:spacing w:line="360" w:lineRule="auto"/>
        <w:ind w:firstLine="480" w:firstLineChars="200"/>
        <w:rPr>
          <w:bCs/>
          <w:sz w:val="24"/>
          <w:szCs w:val="24"/>
        </w:rPr>
      </w:pPr>
      <w:r>
        <w:rPr>
          <w:rFonts w:hint="eastAsia"/>
          <w:bCs/>
          <w:sz w:val="24"/>
          <w:szCs w:val="24"/>
        </w:rPr>
        <w:t>（二）监事会审议情况</w:t>
      </w:r>
    </w:p>
    <w:p w14:paraId="5FCFC391">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rPr>
        <w:t>2025年</w:t>
      </w:r>
      <w:r>
        <w:rPr>
          <w:rFonts w:ascii="宋体" w:hAnsi="宋体" w:cs="宋体"/>
          <w:bCs/>
          <w:sz w:val="24"/>
          <w:szCs w:val="24"/>
        </w:rPr>
        <w:t>4</w:t>
      </w:r>
      <w:r>
        <w:rPr>
          <w:rFonts w:hint="eastAsia" w:ascii="宋体" w:hAnsi="宋体" w:cs="宋体"/>
          <w:bCs/>
          <w:sz w:val="24"/>
          <w:szCs w:val="24"/>
        </w:rPr>
        <w:t>月18日，公司第五届</w:t>
      </w:r>
      <w:r>
        <w:rPr>
          <w:rFonts w:hint="eastAsia" w:ascii="宋体" w:hAnsi="宋体" w:cs="宋体"/>
          <w:sz w:val="24"/>
          <w:szCs w:val="24"/>
        </w:rPr>
        <w:t>监事会第八次会议审议通过了《关于部分募集资金投资项目延期的议案》。经审议，监事会认为：公司本次对部分募集资金投资项目延期事项，是根据项目实际情况作出的审慎决定，符合公司实际经营的需要和长远的发展规划，符合中国证券监督管理委员会和深圳证券交易所关于上市公司募集资金管理的相关规定，公司本次募集资金项目延期事项履行了必要的决策程序，不存在改变或变相改变募集资金投向和其他损害公司股东，特别是中小股东利益的</w:t>
      </w:r>
      <w:r>
        <w:rPr>
          <w:rFonts w:hint="eastAsia" w:ascii="宋体" w:hAnsi="宋体" w:cs="宋体"/>
          <w:sz w:val="24"/>
          <w:szCs w:val="24"/>
          <w:highlight w:val="none"/>
        </w:rPr>
        <w:t>情形。</w:t>
      </w:r>
    </w:p>
    <w:p w14:paraId="661CD6D9">
      <w:pPr>
        <w:spacing w:line="360" w:lineRule="auto"/>
        <w:ind w:firstLine="480" w:firstLineChars="200"/>
        <w:rPr>
          <w:bCs/>
          <w:sz w:val="24"/>
          <w:szCs w:val="24"/>
          <w:highlight w:val="none"/>
        </w:rPr>
      </w:pPr>
      <w:r>
        <w:rPr>
          <w:rFonts w:hint="eastAsia"/>
          <w:bCs/>
          <w:sz w:val="24"/>
          <w:szCs w:val="24"/>
          <w:highlight w:val="none"/>
        </w:rPr>
        <w:t>（三）保荐人核查意见</w:t>
      </w:r>
    </w:p>
    <w:p w14:paraId="50526D82">
      <w:pPr>
        <w:spacing w:line="360" w:lineRule="auto"/>
        <w:ind w:firstLine="468" w:firstLineChars="195"/>
        <w:rPr>
          <w:rFonts w:hint="eastAsia"/>
          <w:bCs/>
          <w:sz w:val="24"/>
          <w:szCs w:val="24"/>
          <w:highlight w:val="none"/>
        </w:rPr>
      </w:pPr>
      <w:r>
        <w:rPr>
          <w:rFonts w:hint="eastAsia"/>
          <w:bCs/>
          <w:sz w:val="24"/>
          <w:szCs w:val="24"/>
          <w:highlight w:val="none"/>
        </w:rPr>
        <w:t>经核查，保荐人认为：公司本次对募投项目延期调整事项已履行了必要的审批程序，符合相关法律法规及规范性文件的要求；公司本次对募投项目的延期调整事项不会对项目的建设产生实质性的影响，仅涉及募集资金投资项目进度的变化，不存在改变或变相改变募集资金投向和其他损害公司股东，特别是中小股东利益的情形。</w:t>
      </w:r>
    </w:p>
    <w:p w14:paraId="01272B68">
      <w:pPr>
        <w:overflowPunct w:val="0"/>
        <w:spacing w:before="156" w:beforeLines="50" w:after="156" w:afterLines="50" w:line="240" w:lineRule="auto"/>
        <w:ind w:firstLine="480" w:firstLineChars="200"/>
        <w:rPr>
          <w:rFonts w:hint="eastAsia"/>
          <w:bCs/>
          <w:sz w:val="24"/>
          <w:szCs w:val="24"/>
          <w:highlight w:val="none"/>
        </w:rPr>
      </w:pPr>
      <w:r>
        <w:rPr>
          <w:rFonts w:hint="eastAsia"/>
          <w:sz w:val="24"/>
        </w:rPr>
        <w:t>综上，保荐人对公司部分募集资金投资项目延期事项无异议。</w:t>
      </w:r>
    </w:p>
    <w:p w14:paraId="2FB32302">
      <w:pPr>
        <w:spacing w:line="360" w:lineRule="auto"/>
        <w:ind w:firstLine="470" w:firstLineChars="195"/>
        <w:rPr>
          <w:b/>
          <w:sz w:val="24"/>
          <w:szCs w:val="24"/>
          <w:highlight w:val="none"/>
        </w:rPr>
      </w:pPr>
    </w:p>
    <w:p w14:paraId="7F053DDE">
      <w:pPr>
        <w:spacing w:line="360" w:lineRule="auto"/>
        <w:ind w:firstLine="470" w:firstLineChars="195"/>
        <w:rPr>
          <w:b/>
          <w:sz w:val="24"/>
          <w:szCs w:val="24"/>
          <w:highlight w:val="none"/>
        </w:rPr>
      </w:pPr>
      <w:r>
        <w:rPr>
          <w:rFonts w:hint="eastAsia"/>
          <w:b/>
          <w:sz w:val="24"/>
          <w:szCs w:val="24"/>
          <w:highlight w:val="none"/>
          <w:lang w:val="en-US" w:eastAsia="zh-CN"/>
        </w:rPr>
        <w:t>六</w:t>
      </w:r>
      <w:r>
        <w:rPr>
          <w:b/>
          <w:sz w:val="24"/>
          <w:szCs w:val="24"/>
          <w:highlight w:val="none"/>
        </w:rPr>
        <w:t>、备查文件</w:t>
      </w:r>
    </w:p>
    <w:p w14:paraId="7E1307EF">
      <w:pPr>
        <w:spacing w:line="360" w:lineRule="auto"/>
        <w:ind w:firstLine="480" w:firstLineChars="200"/>
        <w:rPr>
          <w:sz w:val="24"/>
          <w:szCs w:val="24"/>
          <w:highlight w:val="none"/>
        </w:rPr>
      </w:pPr>
      <w:r>
        <w:rPr>
          <w:sz w:val="24"/>
          <w:szCs w:val="24"/>
          <w:highlight w:val="none"/>
        </w:rPr>
        <w:t>1、</w:t>
      </w:r>
      <w:r>
        <w:rPr>
          <w:rFonts w:hint="eastAsia"/>
          <w:sz w:val="24"/>
          <w:szCs w:val="24"/>
          <w:highlight w:val="none"/>
        </w:rPr>
        <w:t>公司第五届董事会第八次会议决议；</w:t>
      </w:r>
    </w:p>
    <w:p w14:paraId="0D94D773">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公司第五届监事会第八次会议决议；</w:t>
      </w:r>
    </w:p>
    <w:p w14:paraId="516586E2">
      <w:pPr>
        <w:spacing w:line="360" w:lineRule="auto"/>
        <w:ind w:firstLine="480" w:firstLineChars="200"/>
        <w:rPr>
          <w:sz w:val="24"/>
          <w:szCs w:val="24"/>
          <w:highlight w:val="none"/>
        </w:rPr>
      </w:pPr>
      <w:r>
        <w:rPr>
          <w:rFonts w:hint="eastAsia"/>
          <w:sz w:val="24"/>
          <w:szCs w:val="24"/>
          <w:highlight w:val="none"/>
        </w:rPr>
        <w:t>3、国泰海通证券股份有限公司关于东莞铭普光磁股份有限公司部分募集资金投资项目延期的核查意见。</w:t>
      </w:r>
    </w:p>
    <w:p w14:paraId="3E1CBECE">
      <w:pPr>
        <w:spacing w:line="360" w:lineRule="auto"/>
        <w:ind w:firstLine="480" w:firstLineChars="200"/>
        <w:rPr>
          <w:sz w:val="24"/>
          <w:szCs w:val="24"/>
        </w:rPr>
      </w:pPr>
    </w:p>
    <w:p w14:paraId="74B86E55">
      <w:pPr>
        <w:spacing w:line="360" w:lineRule="auto"/>
        <w:ind w:firstLine="480" w:firstLineChars="200"/>
        <w:rPr>
          <w:sz w:val="24"/>
          <w:szCs w:val="24"/>
        </w:rPr>
      </w:pPr>
      <w:r>
        <w:rPr>
          <w:sz w:val="24"/>
          <w:szCs w:val="24"/>
        </w:rPr>
        <w:t>特此公告。</w:t>
      </w:r>
    </w:p>
    <w:p w14:paraId="0FF22DF9">
      <w:pPr>
        <w:spacing w:line="360" w:lineRule="auto"/>
        <w:ind w:firstLine="480" w:firstLineChars="200"/>
        <w:rPr>
          <w:sz w:val="24"/>
          <w:szCs w:val="24"/>
        </w:rPr>
      </w:pPr>
    </w:p>
    <w:p w14:paraId="1923F339">
      <w:pPr>
        <w:spacing w:line="360" w:lineRule="auto"/>
        <w:ind w:firstLine="480" w:firstLineChars="200"/>
        <w:rPr>
          <w:sz w:val="24"/>
          <w:szCs w:val="24"/>
        </w:rPr>
      </w:pPr>
    </w:p>
    <w:p w14:paraId="754D39E6">
      <w:pPr>
        <w:spacing w:line="360" w:lineRule="auto"/>
        <w:ind w:firstLine="5301" w:firstLineChars="2200"/>
        <w:contextualSpacing/>
        <w:rPr>
          <w:rFonts w:hint="eastAsia" w:ascii="宋体" w:hAnsi="宋体"/>
          <w:b/>
          <w:sz w:val="24"/>
          <w:szCs w:val="24"/>
        </w:rPr>
      </w:pPr>
      <w:r>
        <w:rPr>
          <w:rFonts w:hint="eastAsia" w:ascii="宋体" w:hAnsi="宋体"/>
          <w:b/>
          <w:sz w:val="24"/>
          <w:szCs w:val="24"/>
        </w:rPr>
        <w:t>东莞铭普光磁股份有限公司</w:t>
      </w:r>
    </w:p>
    <w:p w14:paraId="3DEBBAB8">
      <w:pPr>
        <w:spacing w:line="360" w:lineRule="auto"/>
        <w:contextualSpacing/>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董 事 会 </w:t>
      </w:r>
    </w:p>
    <w:p w14:paraId="1F684BCC">
      <w:pPr>
        <w:spacing w:line="360" w:lineRule="auto"/>
        <w:ind w:firstLine="5903" w:firstLineChars="2450"/>
        <w:contextualSpacing/>
        <w:rPr>
          <w:rFonts w:hint="eastAsia" w:ascii="宋体" w:hAnsi="宋体"/>
          <w:b/>
          <w:sz w:val="24"/>
          <w:szCs w:val="24"/>
        </w:rPr>
      </w:pPr>
      <w:r>
        <w:rPr>
          <w:rFonts w:ascii="宋体" w:hAnsi="宋体"/>
          <w:b/>
          <w:sz w:val="24"/>
          <w:szCs w:val="24"/>
        </w:rPr>
        <w:t>20</w:t>
      </w:r>
      <w:r>
        <w:rPr>
          <w:rFonts w:hint="eastAsia" w:ascii="宋体" w:hAnsi="宋体"/>
          <w:b/>
          <w:sz w:val="24"/>
          <w:szCs w:val="24"/>
        </w:rPr>
        <w:t>25</w:t>
      </w:r>
      <w:r>
        <w:rPr>
          <w:rFonts w:ascii="宋体" w:hAnsi="宋体"/>
          <w:b/>
          <w:sz w:val="24"/>
          <w:szCs w:val="24"/>
        </w:rPr>
        <w:t>年4月</w:t>
      </w:r>
      <w:r>
        <w:rPr>
          <w:rFonts w:hint="eastAsia" w:ascii="宋体" w:hAnsi="宋体"/>
          <w:b/>
          <w:sz w:val="24"/>
          <w:szCs w:val="24"/>
        </w:rPr>
        <w:t>22</w:t>
      </w:r>
      <w:r>
        <w:rPr>
          <w:rFonts w:ascii="宋体" w:hAnsi="宋体"/>
          <w:b/>
          <w:sz w:val="24"/>
          <w:szCs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081A">
    <w:pPr>
      <w:pStyle w:val="4"/>
      <w:jc w:val="center"/>
    </w:pPr>
    <w:r>
      <w:fldChar w:fldCharType="begin"/>
    </w:r>
    <w:r>
      <w:instrText xml:space="preserve">PAGE   \* MERGEFORMAT</w:instrText>
    </w:r>
    <w:r>
      <w:fldChar w:fldCharType="separate"/>
    </w:r>
    <w:r>
      <w:rPr>
        <w:lang w:val="zh-CN"/>
      </w:rPr>
      <w:t>1</w:t>
    </w:r>
    <w:r>
      <w:fldChar w:fldCharType="end"/>
    </w:r>
  </w:p>
  <w:p w14:paraId="4FF7799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23E61"/>
    <w:multiLevelType w:val="singleLevel"/>
    <w:tmpl w:val="92423E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YTg3NWQwNjJjNTRlMjI0NzU4YzM5YWIyMDkxZjYifQ=="/>
  </w:docVars>
  <w:rsids>
    <w:rsidRoot w:val="00B35063"/>
    <w:rsid w:val="00021198"/>
    <w:rsid w:val="00033212"/>
    <w:rsid w:val="0004275C"/>
    <w:rsid w:val="00073AC2"/>
    <w:rsid w:val="00081FA8"/>
    <w:rsid w:val="00090476"/>
    <w:rsid w:val="00095A3E"/>
    <w:rsid w:val="000A61D6"/>
    <w:rsid w:val="000B56C1"/>
    <w:rsid w:val="000E6E52"/>
    <w:rsid w:val="000F57D0"/>
    <w:rsid w:val="001120FD"/>
    <w:rsid w:val="00121E27"/>
    <w:rsid w:val="00141488"/>
    <w:rsid w:val="0016397D"/>
    <w:rsid w:val="00166FB7"/>
    <w:rsid w:val="00190276"/>
    <w:rsid w:val="001B1EA8"/>
    <w:rsid w:val="002474C7"/>
    <w:rsid w:val="00251CE2"/>
    <w:rsid w:val="002719E9"/>
    <w:rsid w:val="0027206D"/>
    <w:rsid w:val="002749CC"/>
    <w:rsid w:val="00294FC3"/>
    <w:rsid w:val="002B4808"/>
    <w:rsid w:val="002B4F24"/>
    <w:rsid w:val="002D009B"/>
    <w:rsid w:val="002F4DAA"/>
    <w:rsid w:val="002F57B7"/>
    <w:rsid w:val="002F6081"/>
    <w:rsid w:val="003270B4"/>
    <w:rsid w:val="00351126"/>
    <w:rsid w:val="00370E69"/>
    <w:rsid w:val="00373913"/>
    <w:rsid w:val="00391F60"/>
    <w:rsid w:val="00397673"/>
    <w:rsid w:val="003B086F"/>
    <w:rsid w:val="003B2791"/>
    <w:rsid w:val="003C143C"/>
    <w:rsid w:val="00400539"/>
    <w:rsid w:val="0040310F"/>
    <w:rsid w:val="00450D78"/>
    <w:rsid w:val="00461A12"/>
    <w:rsid w:val="00466603"/>
    <w:rsid w:val="00493582"/>
    <w:rsid w:val="004A6B3A"/>
    <w:rsid w:val="004C6EDB"/>
    <w:rsid w:val="004E14AB"/>
    <w:rsid w:val="0055221F"/>
    <w:rsid w:val="00580A32"/>
    <w:rsid w:val="005C012C"/>
    <w:rsid w:val="005F42F8"/>
    <w:rsid w:val="00644B5E"/>
    <w:rsid w:val="0068352E"/>
    <w:rsid w:val="006A7202"/>
    <w:rsid w:val="006C3151"/>
    <w:rsid w:val="006C62D2"/>
    <w:rsid w:val="006E642D"/>
    <w:rsid w:val="007039D9"/>
    <w:rsid w:val="00703DA5"/>
    <w:rsid w:val="00734EBF"/>
    <w:rsid w:val="007449E4"/>
    <w:rsid w:val="00757615"/>
    <w:rsid w:val="007642AD"/>
    <w:rsid w:val="00774BED"/>
    <w:rsid w:val="007770BD"/>
    <w:rsid w:val="007A25C4"/>
    <w:rsid w:val="007D59D8"/>
    <w:rsid w:val="00801D21"/>
    <w:rsid w:val="008114EF"/>
    <w:rsid w:val="0081375D"/>
    <w:rsid w:val="00815BFC"/>
    <w:rsid w:val="00824E77"/>
    <w:rsid w:val="00862B46"/>
    <w:rsid w:val="00866513"/>
    <w:rsid w:val="00874B82"/>
    <w:rsid w:val="00877B63"/>
    <w:rsid w:val="0089633A"/>
    <w:rsid w:val="008B5119"/>
    <w:rsid w:val="008B6C4E"/>
    <w:rsid w:val="008C7E97"/>
    <w:rsid w:val="008F5063"/>
    <w:rsid w:val="00943909"/>
    <w:rsid w:val="0098360D"/>
    <w:rsid w:val="009878FF"/>
    <w:rsid w:val="009A2D78"/>
    <w:rsid w:val="009A3BAF"/>
    <w:rsid w:val="009B1983"/>
    <w:rsid w:val="009B4CC0"/>
    <w:rsid w:val="009E296A"/>
    <w:rsid w:val="00A00C6B"/>
    <w:rsid w:val="00A13FFC"/>
    <w:rsid w:val="00A302D5"/>
    <w:rsid w:val="00A3265C"/>
    <w:rsid w:val="00A57B15"/>
    <w:rsid w:val="00AA1BC5"/>
    <w:rsid w:val="00AB01AA"/>
    <w:rsid w:val="00AC4286"/>
    <w:rsid w:val="00B11744"/>
    <w:rsid w:val="00B31814"/>
    <w:rsid w:val="00B35063"/>
    <w:rsid w:val="00B42239"/>
    <w:rsid w:val="00B738E9"/>
    <w:rsid w:val="00B94BE8"/>
    <w:rsid w:val="00B96ED0"/>
    <w:rsid w:val="00BE1C66"/>
    <w:rsid w:val="00BE666D"/>
    <w:rsid w:val="00C1226C"/>
    <w:rsid w:val="00C56E31"/>
    <w:rsid w:val="00C67CCF"/>
    <w:rsid w:val="00C97511"/>
    <w:rsid w:val="00CA42F8"/>
    <w:rsid w:val="00CB476F"/>
    <w:rsid w:val="00CB7DD7"/>
    <w:rsid w:val="00CD0187"/>
    <w:rsid w:val="00CE0C3C"/>
    <w:rsid w:val="00CE2955"/>
    <w:rsid w:val="00CE6DFF"/>
    <w:rsid w:val="00D25D4B"/>
    <w:rsid w:val="00D478FC"/>
    <w:rsid w:val="00D84C35"/>
    <w:rsid w:val="00DA01C6"/>
    <w:rsid w:val="00DA2603"/>
    <w:rsid w:val="00DD4532"/>
    <w:rsid w:val="00DD63C4"/>
    <w:rsid w:val="00DE10D5"/>
    <w:rsid w:val="00E41A16"/>
    <w:rsid w:val="00E5473D"/>
    <w:rsid w:val="00E73254"/>
    <w:rsid w:val="00E87D9C"/>
    <w:rsid w:val="00E96401"/>
    <w:rsid w:val="00EB2BA4"/>
    <w:rsid w:val="00EC74C3"/>
    <w:rsid w:val="00EF254D"/>
    <w:rsid w:val="00F2566E"/>
    <w:rsid w:val="00F4125D"/>
    <w:rsid w:val="00F71607"/>
    <w:rsid w:val="00F77349"/>
    <w:rsid w:val="00F83EB1"/>
    <w:rsid w:val="00F959D3"/>
    <w:rsid w:val="00FA6F12"/>
    <w:rsid w:val="00FB021E"/>
    <w:rsid w:val="00FB450D"/>
    <w:rsid w:val="00FD2CA5"/>
    <w:rsid w:val="00FE0081"/>
    <w:rsid w:val="00FE168F"/>
    <w:rsid w:val="00FE49F3"/>
    <w:rsid w:val="00FE7FC0"/>
    <w:rsid w:val="00FF16AF"/>
    <w:rsid w:val="02BC2A15"/>
    <w:rsid w:val="04F14F63"/>
    <w:rsid w:val="0AAC5F53"/>
    <w:rsid w:val="0D32033C"/>
    <w:rsid w:val="0D724300"/>
    <w:rsid w:val="0F96366E"/>
    <w:rsid w:val="1C12182B"/>
    <w:rsid w:val="1D0D6492"/>
    <w:rsid w:val="23DE364E"/>
    <w:rsid w:val="2F7E122C"/>
    <w:rsid w:val="3A7A7962"/>
    <w:rsid w:val="3DF06552"/>
    <w:rsid w:val="40927A6A"/>
    <w:rsid w:val="41D20DAA"/>
    <w:rsid w:val="469A7F82"/>
    <w:rsid w:val="50FC3183"/>
    <w:rsid w:val="51A907B2"/>
    <w:rsid w:val="57334562"/>
    <w:rsid w:val="57344517"/>
    <w:rsid w:val="5A1C7DEF"/>
    <w:rsid w:val="6187730A"/>
    <w:rsid w:val="63C85C18"/>
    <w:rsid w:val="64872A7E"/>
    <w:rsid w:val="65E35F98"/>
    <w:rsid w:val="6800366A"/>
    <w:rsid w:val="799649B3"/>
    <w:rsid w:val="7BE5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2"/>
    </w:rPr>
  </w:style>
  <w:style w:type="character" w:customStyle="1" w:styleId="12">
    <w:name w:val="批注框文本 字符"/>
    <w:link w:val="3"/>
    <w:autoRedefine/>
    <w:semiHidden/>
    <w:qFormat/>
    <w:uiPriority w:val="99"/>
    <w:rPr>
      <w:sz w:val="18"/>
      <w:szCs w:val="18"/>
    </w:rPr>
  </w:style>
  <w:style w:type="character" w:customStyle="1" w:styleId="13">
    <w:name w:val="页脚 字符"/>
    <w:link w:val="4"/>
    <w:qFormat/>
    <w:uiPriority w:val="99"/>
    <w:rPr>
      <w:sz w:val="18"/>
      <w:szCs w:val="18"/>
    </w:rPr>
  </w:style>
  <w:style w:type="character" w:customStyle="1" w:styleId="14">
    <w:name w:val="页眉 字符"/>
    <w:link w:val="5"/>
    <w:autoRedefine/>
    <w:qFormat/>
    <w:uiPriority w:val="99"/>
    <w:rPr>
      <w:sz w:val="18"/>
      <w:szCs w:val="18"/>
    </w:rPr>
  </w:style>
  <w:style w:type="character" w:customStyle="1" w:styleId="15">
    <w:name w:val="批注主题 字符"/>
    <w:link w:val="6"/>
    <w:autoRedefine/>
    <w:semiHidden/>
    <w:qFormat/>
    <w:uiPriority w:val="99"/>
    <w:rPr>
      <w:b/>
      <w:bCs/>
      <w:kern w:val="2"/>
      <w:sz w:val="21"/>
      <w:szCs w:val="22"/>
    </w:rPr>
  </w:style>
  <w:style w:type="paragraph" w:styleId="16">
    <w:name w:val="List Paragraph"/>
    <w:basedOn w:val="1"/>
    <w:autoRedefine/>
    <w:qFormat/>
    <w:uiPriority w:val="34"/>
    <w:pPr>
      <w:ind w:firstLine="420" w:firstLineChars="200"/>
    </w:pPr>
  </w:style>
  <w:style w:type="paragraph" w:customStyle="1" w:styleId="17">
    <w:name w:val="Default"/>
    <w:autoRedefine/>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002表格字体"/>
    <w:basedOn w:val="1"/>
    <w:autoRedefine/>
    <w:qFormat/>
    <w:uiPriority w:val="0"/>
    <w:pPr>
      <w:adjustRightInd w:val="0"/>
      <w:snapToGrid w:val="0"/>
      <w:jc w:val="right"/>
    </w:pPr>
    <w:rPr>
      <w:bCs/>
      <w:szCs w:val="28"/>
      <w:lang w:val="zh-CN"/>
    </w:rPr>
  </w:style>
  <w:style w:type="character" w:customStyle="1" w:styleId="19">
    <w:name w:val="font11"/>
    <w:autoRedefine/>
    <w:qFormat/>
    <w:uiPriority w:val="0"/>
    <w:rPr>
      <w:rFonts w:hint="eastAsia" w:ascii="宋体" w:hAnsi="宋体" w:eastAsia="宋体" w:cs="宋体"/>
      <w:b/>
      <w:bCs/>
      <w:color w:val="000000"/>
      <w:sz w:val="21"/>
      <w:szCs w:val="21"/>
      <w:u w:val="none"/>
    </w:rPr>
  </w:style>
  <w:style w:type="character" w:customStyle="1" w:styleId="20">
    <w:name w:val="font31"/>
    <w:autoRedefine/>
    <w:qFormat/>
    <w:uiPriority w:val="0"/>
    <w:rPr>
      <w:rFonts w:hint="eastAsia" w:ascii="宋体" w:hAnsi="宋体" w:eastAsia="宋体" w:cs="宋体"/>
      <w:color w:val="000000"/>
      <w:sz w:val="21"/>
      <w:szCs w:val="21"/>
      <w:u w:val="none"/>
    </w:rPr>
  </w:style>
  <w:style w:type="character" w:customStyle="1" w:styleId="21">
    <w:name w:val="font21"/>
    <w:autoRedefine/>
    <w:qFormat/>
    <w:uiPriority w:val="0"/>
    <w:rPr>
      <w:rFonts w:hint="default" w:ascii="Times New Roman" w:hAnsi="Times New Roman" w:cs="Times New Roman"/>
      <w:color w:val="000000"/>
      <w:sz w:val="21"/>
      <w:szCs w:val="21"/>
      <w:u w:val="none"/>
    </w:rPr>
  </w:style>
  <w:style w:type="paragraph" w:customStyle="1" w:styleId="22">
    <w:name w:val="欣锐科技005正文"/>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2516</Words>
  <Characters>2952</Characters>
  <Lines>48</Lines>
  <Paragraphs>121</Paragraphs>
  <TotalTime>0</TotalTime>
  <ScaleCrop>false</ScaleCrop>
  <LinksUpToDate>false</LinksUpToDate>
  <CharactersWithSpaces>3035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2024-03-20T09:29:00Z</dcterms:created>
  <dc:creator>微软用户</dc:creator>
  <cp:lastModifiedBy>WPS_477959835</cp:lastModifiedBy>
  <cp:lastPrinted>2025-04-21T03:31:00Z</cp:lastPrinted>
  <dcterms:modified xsi:type="dcterms:W3CDTF">2025-04-21T09:04:41Z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4659560BC8574A15B1A937EE42769D18_12</vt:lpwstr>
  </property>
  <property fmtid="{D5CDD505-2E9C-101B-9397-08002B2CF9AE}" pid="4" name="KSOTemplateDocerSaveRecord">
    <vt:lpwstr>eyJoZGlkIjoiODlhYmE1MzQ4NzRlYjUyNWI2Yzc4ZTAxNzZhZWFmNTciLCJ1c2VySWQiOiI0Nzc5NTk4MzUifQ==</vt:lpwstr>
  </property>
</Properties>
</file>