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B5D04">
      <w:pPr>
        <w:spacing w:line="360" w:lineRule="auto"/>
        <w:rPr>
          <w:b/>
          <w:sz w:val="24"/>
          <w:szCs w:val="24"/>
        </w:rPr>
      </w:pPr>
      <w:r>
        <w:rPr>
          <w:rFonts w:hint="eastAsia"/>
          <w:b/>
          <w:sz w:val="24"/>
          <w:szCs w:val="24"/>
        </w:rPr>
        <w:t>证券代码：</w:t>
      </w:r>
      <w:r>
        <w:rPr>
          <w:rFonts w:hint="eastAsia" w:ascii="宋体" w:hAnsi="宋体"/>
          <w:b/>
          <w:sz w:val="24"/>
          <w:szCs w:val="24"/>
        </w:rPr>
        <w:t>002902</w:t>
      </w:r>
      <w:r>
        <w:rPr>
          <w:rFonts w:hint="eastAsia"/>
          <w:b/>
          <w:sz w:val="24"/>
          <w:szCs w:val="24"/>
        </w:rPr>
        <w:t xml:space="preserve">          证券简称：铭普光磁         公告编号：</w:t>
      </w:r>
      <w:r>
        <w:rPr>
          <w:rFonts w:hint="eastAsia" w:ascii="宋体" w:hAnsi="宋体"/>
          <w:b/>
          <w:sz w:val="24"/>
          <w:szCs w:val="24"/>
        </w:rPr>
        <w:t>2025-039</w:t>
      </w:r>
    </w:p>
    <w:p w14:paraId="2557CBD0">
      <w:pPr>
        <w:spacing w:line="360" w:lineRule="auto"/>
        <w:rPr>
          <w:sz w:val="24"/>
          <w:szCs w:val="24"/>
        </w:rPr>
      </w:pPr>
    </w:p>
    <w:p w14:paraId="6553CC00">
      <w:pPr>
        <w:spacing w:line="360" w:lineRule="auto"/>
        <w:jc w:val="center"/>
        <w:rPr>
          <w:b/>
          <w:sz w:val="32"/>
          <w:szCs w:val="32"/>
        </w:rPr>
      </w:pPr>
      <w:r>
        <w:rPr>
          <w:rFonts w:hint="eastAsia"/>
          <w:b/>
          <w:sz w:val="32"/>
          <w:szCs w:val="32"/>
        </w:rPr>
        <w:t>东莞铭普光磁股份有限公司</w:t>
      </w:r>
    </w:p>
    <w:p w14:paraId="3184AB25">
      <w:pPr>
        <w:spacing w:line="360" w:lineRule="auto"/>
        <w:jc w:val="center"/>
        <w:rPr>
          <w:b/>
          <w:sz w:val="32"/>
          <w:szCs w:val="32"/>
        </w:rPr>
      </w:pPr>
      <w:r>
        <w:rPr>
          <w:rFonts w:hint="eastAsia"/>
          <w:b/>
          <w:sz w:val="32"/>
          <w:szCs w:val="32"/>
        </w:rPr>
        <w:t>关于使用暂时闲置募集资金进行现金管理的公告</w:t>
      </w:r>
    </w:p>
    <w:p w14:paraId="32B869F4">
      <w:pPr>
        <w:spacing w:line="360" w:lineRule="auto"/>
        <w:jc w:val="center"/>
        <w:rPr>
          <w:b/>
          <w:sz w:val="32"/>
          <w:szCs w:val="32"/>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C93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2B1AB1E9">
            <w:pPr>
              <w:spacing w:line="360" w:lineRule="auto"/>
              <w:ind w:firstLine="482" w:firstLineChars="200"/>
              <w:rPr>
                <w:b/>
                <w:sz w:val="24"/>
                <w:szCs w:val="24"/>
              </w:rPr>
            </w:pPr>
            <w:r>
              <w:rPr>
                <w:b/>
                <w:sz w:val="24"/>
                <w:szCs w:val="24"/>
              </w:rPr>
              <w:t>本公司及董事会全体成员保证信息披露的内容真实、准确、完整，没有虚假记载、误导性陈述或重大遗漏。</w:t>
            </w:r>
          </w:p>
        </w:tc>
      </w:tr>
    </w:tbl>
    <w:p w14:paraId="76347B92">
      <w:pPr>
        <w:autoSpaceDE w:val="0"/>
        <w:autoSpaceDN w:val="0"/>
        <w:adjustRightInd w:val="0"/>
        <w:jc w:val="left"/>
        <w:rPr>
          <w:rFonts w:ascii="宋体" w:cs="宋体"/>
          <w:kern w:val="0"/>
          <w:sz w:val="24"/>
          <w:szCs w:val="24"/>
        </w:rPr>
      </w:pPr>
    </w:p>
    <w:p w14:paraId="4330DC9B">
      <w:pPr>
        <w:spacing w:line="360" w:lineRule="auto"/>
        <w:ind w:firstLine="480" w:firstLineChars="200"/>
        <w:rPr>
          <w:rFonts w:ascii="宋体" w:cs="宋体"/>
          <w:kern w:val="0"/>
          <w:sz w:val="24"/>
          <w:szCs w:val="24"/>
        </w:rPr>
      </w:pPr>
      <w:r>
        <w:rPr>
          <w:rFonts w:hint="eastAsia"/>
          <w:sz w:val="24"/>
          <w:szCs w:val="24"/>
        </w:rPr>
        <w:t>东莞铭普光磁股份有限公司（以下简称“公司”</w:t>
      </w:r>
      <w:r>
        <w:rPr>
          <w:rFonts w:hint="eastAsia" w:ascii="宋体" w:hAnsi="宋体" w:cs="宋体"/>
          <w:sz w:val="24"/>
          <w:szCs w:val="24"/>
        </w:rPr>
        <w:t>）于2025年4月18日</w:t>
      </w:r>
      <w:r>
        <w:rPr>
          <w:rFonts w:hint="eastAsia"/>
          <w:sz w:val="24"/>
          <w:szCs w:val="24"/>
        </w:rPr>
        <w:t>召开第五届董事会第八次会议和第五届监事会第八次会议，审议通过了《关于使用暂时闲置募集资金进行现金管理的议案</w:t>
      </w:r>
      <w:r>
        <w:rPr>
          <w:rFonts w:hint="eastAsia" w:ascii="宋体" w:hAnsi="宋体" w:cs="宋体"/>
          <w:sz w:val="24"/>
          <w:szCs w:val="24"/>
        </w:rPr>
        <w:t>》，同意公司（含子公司）在确保不影响募集资金项目建设和募集资金使用的情况下，使用不超过人民币19,000万元的</w:t>
      </w:r>
      <w:r>
        <w:rPr>
          <w:rFonts w:hint="eastAsia" w:ascii="宋体" w:hAnsi="宋体"/>
          <w:sz w:val="24"/>
        </w:rPr>
        <w:t>暂时闲置募集资金进行现金管理，购买安全性高、流动性好、短期（不超过1</w:t>
      </w:r>
      <w:r>
        <w:rPr>
          <w:rFonts w:ascii="宋体" w:hAnsi="宋体"/>
          <w:sz w:val="24"/>
        </w:rPr>
        <w:t>2</w:t>
      </w:r>
      <w:r>
        <w:rPr>
          <w:rFonts w:hint="eastAsia" w:ascii="宋体" w:hAnsi="宋体"/>
          <w:sz w:val="24"/>
        </w:rPr>
        <w:t>个月）的理财产品，包括但不限于定期存款、结构</w:t>
      </w:r>
      <w:r>
        <w:rPr>
          <w:rFonts w:hint="eastAsia" w:ascii="宋体" w:hAnsi="宋体"/>
          <w:sz w:val="24"/>
          <w:lang w:val="en-US" w:eastAsia="zh-CN"/>
        </w:rPr>
        <w:t>性</w:t>
      </w:r>
      <w:r>
        <w:rPr>
          <w:rFonts w:hint="eastAsia" w:ascii="宋体" w:hAnsi="宋体"/>
          <w:sz w:val="24"/>
        </w:rPr>
        <w:t>存款、银行理财产品、券商收益凭证等</w:t>
      </w:r>
      <w:r>
        <w:rPr>
          <w:rFonts w:ascii="宋体" w:hAnsi="宋体"/>
          <w:sz w:val="24"/>
        </w:rPr>
        <w:t>产品</w:t>
      </w:r>
      <w:r>
        <w:rPr>
          <w:rFonts w:hint="eastAsia" w:ascii="宋体" w:hAnsi="宋体"/>
          <w:sz w:val="24"/>
        </w:rPr>
        <w:t>。</w:t>
      </w:r>
      <w:r>
        <w:rPr>
          <w:rFonts w:hint="eastAsia" w:ascii="宋体" w:hAnsi="宋体" w:cs="宋体"/>
          <w:kern w:val="0"/>
          <w:sz w:val="24"/>
          <w:szCs w:val="24"/>
        </w:rPr>
        <w:t>现将有关事</w:t>
      </w:r>
      <w:r>
        <w:rPr>
          <w:rFonts w:hint="eastAsia" w:ascii="宋体" w:cs="宋体"/>
          <w:kern w:val="0"/>
          <w:sz w:val="24"/>
          <w:szCs w:val="24"/>
        </w:rPr>
        <w:t>项公告如下：</w:t>
      </w:r>
    </w:p>
    <w:p w14:paraId="6EC0C3EB">
      <w:pPr>
        <w:spacing w:line="360" w:lineRule="auto"/>
        <w:ind w:firstLine="480" w:firstLineChars="200"/>
        <w:rPr>
          <w:rFonts w:ascii="宋体" w:cs="宋体"/>
          <w:kern w:val="0"/>
          <w:sz w:val="24"/>
          <w:szCs w:val="24"/>
        </w:rPr>
      </w:pPr>
    </w:p>
    <w:p w14:paraId="06D28D32">
      <w:pPr>
        <w:spacing w:line="360" w:lineRule="auto"/>
        <w:ind w:firstLine="472" w:firstLineChars="196"/>
        <w:rPr>
          <w:b/>
          <w:sz w:val="24"/>
          <w:szCs w:val="24"/>
        </w:rPr>
      </w:pPr>
      <w:r>
        <w:rPr>
          <w:rFonts w:hint="eastAsia"/>
          <w:b/>
          <w:sz w:val="24"/>
          <w:szCs w:val="24"/>
        </w:rPr>
        <w:t>一、募集资金基本情况</w:t>
      </w:r>
    </w:p>
    <w:p w14:paraId="05654D65">
      <w:pPr>
        <w:spacing w:line="360" w:lineRule="auto"/>
        <w:ind w:firstLine="480" w:firstLineChars="200"/>
        <w:rPr>
          <w:rFonts w:hint="eastAsia" w:ascii="宋体" w:hAnsi="宋体"/>
          <w:sz w:val="24"/>
          <w:szCs w:val="24"/>
        </w:rPr>
      </w:pPr>
      <w:r>
        <w:rPr>
          <w:rFonts w:hint="eastAsia" w:ascii="宋体" w:hAnsi="宋体"/>
          <w:sz w:val="24"/>
          <w:szCs w:val="24"/>
        </w:rPr>
        <w:t>经中国证券监督管理委员会《关于同意东莞铭普光磁股份有限公司向特定对象发行股票注册的批复》（证监许可〔2023〕1513号）同意，公司向特定对象发行A股股票数量23,626,062股，每股面值1.00元，发行价格为17.65元/股，募集资金总额为416,999,994.30元。扣除各项发行费用9,405,307.13元（不含税）后，募集资金净额为407,594,687.17元。上述募集资金已于2024年3月4日划至公司指定账户，经立信会计师事务所（特殊普通合伙）进行了审验，并于2024年3月5日出具信会师报字[2024]第ZI10025号《验资报告》。募集资金到账后，公司按照规定全部存放于募集资金专项账户内，公司及子公司、保荐人、存放募集资金的商业银行签订募集资金三方或四方监管协议，对募集资金的存放和使用进行专户管理。</w:t>
      </w:r>
    </w:p>
    <w:p w14:paraId="6036A313">
      <w:pPr>
        <w:spacing w:line="360" w:lineRule="auto"/>
        <w:ind w:firstLine="480" w:firstLineChars="200"/>
        <w:rPr>
          <w:rFonts w:hint="eastAsia" w:ascii="宋体" w:hAnsi="宋体"/>
          <w:sz w:val="24"/>
          <w:szCs w:val="24"/>
        </w:rPr>
      </w:pPr>
    </w:p>
    <w:p w14:paraId="457ADF9D">
      <w:pPr>
        <w:spacing w:line="360" w:lineRule="auto"/>
        <w:ind w:firstLine="482" w:firstLineChars="200"/>
        <w:rPr>
          <w:bCs/>
          <w:sz w:val="24"/>
        </w:rPr>
      </w:pPr>
      <w:r>
        <w:rPr>
          <w:rFonts w:hint="eastAsia"/>
          <w:b/>
          <w:sz w:val="24"/>
        </w:rPr>
        <w:t>二、募集资金投资项目金额的基本情况</w:t>
      </w:r>
    </w:p>
    <w:p w14:paraId="06EA6B42">
      <w:pPr>
        <w:pStyle w:val="17"/>
        <w:adjustRightInd/>
        <w:spacing w:line="360" w:lineRule="auto"/>
        <w:ind w:firstLine="480" w:firstLineChars="200"/>
        <w:jc w:val="both"/>
        <w:rPr>
          <w:rFonts w:hint="eastAsia" w:hAnsi="宋体"/>
        </w:rPr>
      </w:pPr>
      <w:r>
        <w:rPr>
          <w:rFonts w:hint="eastAsia" w:hAnsi="宋体"/>
        </w:rPr>
        <w:t>根</w:t>
      </w:r>
      <w:r>
        <w:rPr>
          <w:rFonts w:hint="eastAsia" w:ascii="宋体" w:hAnsi="宋体" w:cs="宋体"/>
        </w:rPr>
        <w:t>据《东莞铭普光磁股份有限公司向特定对象发行A股股票募集说明书》及公司于2024年3月20日召开第四届董事会第三十四次会议和第四届监事会第三十二次会议，审议通过了《关于调整部分募投项目拟投入募集资金金额的议案》；公司分别于2024年9月25日召开第五届董事会第三次会议、第五届监事会第三次会议，于2024年10月14日召开2024年第二</w:t>
      </w:r>
      <w:r>
        <w:rPr>
          <w:rFonts w:hint="eastAsia" w:hAnsi="宋体"/>
        </w:rPr>
        <w:t>次临时股东大会，审议通过了《关于变更部分募集资金用途的议案》。经过上述调整后，公司向特定对象发行A股股票募集资金的投资项目情况如下：</w:t>
      </w:r>
    </w:p>
    <w:p w14:paraId="5D87409A">
      <w:pPr>
        <w:spacing w:line="360" w:lineRule="auto"/>
        <w:jc w:val="right"/>
        <w:rPr>
          <w:rFonts w:hint="eastAsia" w:ascii="宋体" w:hAnsi="宋体"/>
          <w:sz w:val="24"/>
        </w:rPr>
      </w:pPr>
      <w:r>
        <w:rPr>
          <w:rFonts w:hint="eastAsia" w:ascii="宋体" w:hAnsi="宋体"/>
          <w:sz w:val="24"/>
        </w:rPr>
        <w:t>单位：万元</w:t>
      </w:r>
    </w:p>
    <w:tbl>
      <w:tblPr>
        <w:tblStyle w:val="7"/>
        <w:tblW w:w="50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298"/>
        <w:gridCol w:w="1313"/>
        <w:gridCol w:w="1444"/>
        <w:gridCol w:w="1444"/>
        <w:gridCol w:w="1573"/>
      </w:tblGrid>
      <w:tr w14:paraId="6E29B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25" w:type="dxa"/>
            <w:vAlign w:val="center"/>
          </w:tcPr>
          <w:p w14:paraId="10C96F75">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序号</w:t>
            </w:r>
          </w:p>
        </w:tc>
        <w:tc>
          <w:tcPr>
            <w:tcW w:w="2298" w:type="dxa"/>
            <w:vAlign w:val="center"/>
          </w:tcPr>
          <w:p w14:paraId="5412D7DC">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项目名称</w:t>
            </w:r>
          </w:p>
        </w:tc>
        <w:tc>
          <w:tcPr>
            <w:tcW w:w="1313" w:type="dxa"/>
            <w:vAlign w:val="center"/>
          </w:tcPr>
          <w:p w14:paraId="6812A8A1">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总投资金额</w:t>
            </w:r>
          </w:p>
        </w:tc>
        <w:tc>
          <w:tcPr>
            <w:tcW w:w="1444" w:type="dxa"/>
            <w:vAlign w:val="center"/>
          </w:tcPr>
          <w:p w14:paraId="749BD1B7">
            <w:pPr>
              <w:pStyle w:val="22"/>
              <w:spacing w:line="240" w:lineRule="auto"/>
              <w:ind w:firstLine="0" w:firstLineChars="0"/>
              <w:jc w:val="center"/>
              <w:rPr>
                <w:rFonts w:hint="eastAsia" w:ascii="宋体" w:hAnsi="宋体"/>
                <w:sz w:val="21"/>
                <w:szCs w:val="21"/>
              </w:rPr>
            </w:pPr>
            <w:r>
              <w:rPr>
                <w:rFonts w:hint="eastAsia" w:ascii="宋体" w:hAnsi="宋体"/>
                <w:b/>
                <w:bCs/>
                <w:sz w:val="21"/>
                <w:szCs w:val="21"/>
                <w:lang w:val="zh-CN"/>
              </w:rPr>
              <w:t>募集说明书计划投入募集资金</w:t>
            </w:r>
          </w:p>
        </w:tc>
        <w:tc>
          <w:tcPr>
            <w:tcW w:w="1444" w:type="dxa"/>
            <w:vAlign w:val="center"/>
          </w:tcPr>
          <w:p w14:paraId="06245828">
            <w:pPr>
              <w:pStyle w:val="22"/>
              <w:spacing w:line="240" w:lineRule="auto"/>
              <w:ind w:firstLine="0" w:firstLineChars="0"/>
              <w:jc w:val="center"/>
              <w:rPr>
                <w:rFonts w:hint="eastAsia" w:ascii="宋体" w:hAnsi="宋体"/>
                <w:b/>
                <w:bCs/>
                <w:sz w:val="21"/>
                <w:szCs w:val="21"/>
                <w:lang w:val="zh-CN"/>
              </w:rPr>
            </w:pPr>
            <w:r>
              <w:rPr>
                <w:rStyle w:val="19"/>
                <w:rFonts w:hint="default"/>
                <w:lang w:bidi="ar"/>
              </w:rPr>
              <w:t>调整后拟使用募集资金</w:t>
            </w:r>
          </w:p>
        </w:tc>
        <w:tc>
          <w:tcPr>
            <w:tcW w:w="1573" w:type="dxa"/>
            <w:vAlign w:val="center"/>
          </w:tcPr>
          <w:p w14:paraId="5502951E">
            <w:pPr>
              <w:pStyle w:val="22"/>
              <w:spacing w:line="240" w:lineRule="auto"/>
              <w:ind w:firstLine="0" w:firstLineChars="0"/>
              <w:jc w:val="center"/>
              <w:rPr>
                <w:rStyle w:val="19"/>
                <w:rFonts w:hint="default"/>
                <w:lang w:bidi="ar"/>
              </w:rPr>
            </w:pPr>
            <w:r>
              <w:rPr>
                <w:rStyle w:val="19"/>
                <w:lang w:bidi="ar"/>
              </w:rPr>
              <w:t>变更后</w:t>
            </w:r>
            <w:r>
              <w:rPr>
                <w:rStyle w:val="19"/>
                <w:rFonts w:hint="default"/>
                <w:lang w:bidi="ar"/>
              </w:rPr>
              <w:t>拟使用募集资金</w:t>
            </w:r>
          </w:p>
        </w:tc>
      </w:tr>
      <w:tr w14:paraId="44565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25" w:type="dxa"/>
            <w:vAlign w:val="center"/>
          </w:tcPr>
          <w:p w14:paraId="4F2DE540">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1</w:t>
            </w:r>
          </w:p>
        </w:tc>
        <w:tc>
          <w:tcPr>
            <w:tcW w:w="2298" w:type="dxa"/>
            <w:vAlign w:val="center"/>
          </w:tcPr>
          <w:p w14:paraId="613C312E">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光伏储能和片式通信磁性元器件智能制造项目</w:t>
            </w:r>
          </w:p>
        </w:tc>
        <w:tc>
          <w:tcPr>
            <w:tcW w:w="1313" w:type="dxa"/>
            <w:vAlign w:val="center"/>
          </w:tcPr>
          <w:p w14:paraId="5E9E9D98">
            <w:pPr>
              <w:widowControl/>
              <w:adjustRightInd w:val="0"/>
              <w:snapToGrid w:val="0"/>
              <w:jc w:val="right"/>
              <w:rPr>
                <w:bCs/>
                <w:kern w:val="0"/>
                <w:szCs w:val="21"/>
                <w:lang w:val="zh-CN"/>
              </w:rPr>
            </w:pPr>
            <w:r>
              <w:rPr>
                <w:rFonts w:hint="eastAsia"/>
                <w:bCs/>
                <w:kern w:val="0"/>
                <w:szCs w:val="21"/>
                <w:lang w:val="zh-CN"/>
              </w:rPr>
              <w:t>27,693.85</w:t>
            </w:r>
          </w:p>
        </w:tc>
        <w:tc>
          <w:tcPr>
            <w:tcW w:w="1444" w:type="dxa"/>
            <w:vAlign w:val="center"/>
          </w:tcPr>
          <w:p w14:paraId="272E4A60">
            <w:pPr>
              <w:widowControl/>
              <w:adjustRightInd w:val="0"/>
              <w:snapToGrid w:val="0"/>
              <w:jc w:val="right"/>
              <w:rPr>
                <w:bCs/>
                <w:kern w:val="0"/>
                <w:szCs w:val="21"/>
                <w:lang w:val="zh-CN"/>
              </w:rPr>
            </w:pPr>
            <w:r>
              <w:rPr>
                <w:rFonts w:hint="eastAsia"/>
                <w:bCs/>
                <w:kern w:val="0"/>
                <w:szCs w:val="21"/>
                <w:lang w:val="zh-CN"/>
              </w:rPr>
              <w:t>22,900.00</w:t>
            </w:r>
          </w:p>
        </w:tc>
        <w:tc>
          <w:tcPr>
            <w:tcW w:w="1444" w:type="dxa"/>
            <w:vAlign w:val="center"/>
          </w:tcPr>
          <w:p w14:paraId="162B9CF8">
            <w:pPr>
              <w:widowControl/>
              <w:adjustRightInd w:val="0"/>
              <w:snapToGrid w:val="0"/>
              <w:jc w:val="right"/>
              <w:rPr>
                <w:bCs/>
                <w:kern w:val="0"/>
                <w:szCs w:val="21"/>
                <w:lang w:val="zh-CN"/>
              </w:rPr>
            </w:pPr>
            <w:r>
              <w:rPr>
                <w:rFonts w:hint="eastAsia"/>
                <w:bCs/>
                <w:kern w:val="0"/>
                <w:szCs w:val="21"/>
                <w:lang w:val="zh-CN"/>
              </w:rPr>
              <w:t>21,959.47</w:t>
            </w:r>
          </w:p>
        </w:tc>
        <w:tc>
          <w:tcPr>
            <w:tcW w:w="1573" w:type="dxa"/>
            <w:vAlign w:val="center"/>
          </w:tcPr>
          <w:p w14:paraId="31F3A82F">
            <w:pPr>
              <w:widowControl/>
              <w:adjustRightInd w:val="0"/>
              <w:snapToGrid w:val="0"/>
              <w:jc w:val="right"/>
              <w:rPr>
                <w:bCs/>
                <w:kern w:val="0"/>
                <w:szCs w:val="21"/>
                <w:lang w:val="zh-CN"/>
              </w:rPr>
            </w:pPr>
            <w:r>
              <w:rPr>
                <w:rFonts w:hint="eastAsia"/>
                <w:bCs/>
                <w:kern w:val="0"/>
                <w:szCs w:val="21"/>
                <w:lang w:val="zh-CN"/>
              </w:rPr>
              <w:t>12</w:t>
            </w:r>
            <w:r>
              <w:rPr>
                <w:bCs/>
                <w:kern w:val="0"/>
                <w:szCs w:val="21"/>
                <w:lang w:val="zh-CN"/>
              </w:rPr>
              <w:t>,</w:t>
            </w:r>
            <w:r>
              <w:rPr>
                <w:rFonts w:hint="eastAsia"/>
                <w:bCs/>
                <w:kern w:val="0"/>
                <w:szCs w:val="21"/>
                <w:lang w:val="zh-CN"/>
              </w:rPr>
              <w:t>7</w:t>
            </w:r>
            <w:r>
              <w:rPr>
                <w:bCs/>
                <w:kern w:val="0"/>
                <w:szCs w:val="21"/>
                <w:lang w:val="zh-CN"/>
              </w:rPr>
              <w:t>59.47</w:t>
            </w:r>
          </w:p>
        </w:tc>
      </w:tr>
      <w:tr w14:paraId="14DC4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5" w:type="dxa"/>
            <w:vAlign w:val="center"/>
          </w:tcPr>
          <w:p w14:paraId="28EF58EF">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2</w:t>
            </w:r>
          </w:p>
        </w:tc>
        <w:tc>
          <w:tcPr>
            <w:tcW w:w="2298" w:type="dxa"/>
            <w:vAlign w:val="center"/>
          </w:tcPr>
          <w:p w14:paraId="36B7AE81">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车载</w:t>
            </w:r>
            <w:r>
              <w:rPr>
                <w:rFonts w:ascii="宋体" w:hAnsi="宋体"/>
                <w:bCs/>
                <w:sz w:val="21"/>
                <w:szCs w:val="21"/>
                <w:lang w:val="zh-CN"/>
              </w:rPr>
              <w:t>BMS</w:t>
            </w:r>
            <w:r>
              <w:rPr>
                <w:rFonts w:hint="eastAsia" w:ascii="宋体" w:hAnsi="宋体"/>
                <w:bCs/>
                <w:sz w:val="21"/>
                <w:szCs w:val="21"/>
                <w:lang w:val="zh-CN"/>
              </w:rPr>
              <w:t>变压器产业化建设项目</w:t>
            </w:r>
          </w:p>
        </w:tc>
        <w:tc>
          <w:tcPr>
            <w:tcW w:w="1313" w:type="dxa"/>
            <w:vAlign w:val="center"/>
          </w:tcPr>
          <w:p w14:paraId="6E7FB6CD">
            <w:pPr>
              <w:widowControl/>
              <w:adjustRightInd w:val="0"/>
              <w:snapToGrid w:val="0"/>
              <w:jc w:val="right"/>
              <w:rPr>
                <w:bCs/>
                <w:kern w:val="0"/>
                <w:szCs w:val="21"/>
                <w:lang w:val="zh-CN"/>
              </w:rPr>
            </w:pPr>
            <w:r>
              <w:rPr>
                <w:rFonts w:hint="eastAsia"/>
                <w:bCs/>
                <w:kern w:val="0"/>
                <w:szCs w:val="21"/>
                <w:lang w:val="zh-CN"/>
              </w:rPr>
              <w:t>5,937.60</w:t>
            </w:r>
          </w:p>
        </w:tc>
        <w:tc>
          <w:tcPr>
            <w:tcW w:w="1444" w:type="dxa"/>
            <w:vAlign w:val="center"/>
          </w:tcPr>
          <w:p w14:paraId="59458473">
            <w:pPr>
              <w:widowControl/>
              <w:adjustRightInd w:val="0"/>
              <w:snapToGrid w:val="0"/>
              <w:jc w:val="right"/>
              <w:rPr>
                <w:bCs/>
                <w:kern w:val="0"/>
                <w:szCs w:val="21"/>
                <w:lang w:val="zh-CN"/>
              </w:rPr>
            </w:pPr>
            <w:r>
              <w:rPr>
                <w:rFonts w:hint="eastAsia"/>
                <w:bCs/>
                <w:kern w:val="0"/>
                <w:szCs w:val="21"/>
                <w:lang w:val="zh-CN"/>
              </w:rPr>
              <w:t>4,500.00</w:t>
            </w:r>
          </w:p>
        </w:tc>
        <w:tc>
          <w:tcPr>
            <w:tcW w:w="1444" w:type="dxa"/>
            <w:vAlign w:val="center"/>
          </w:tcPr>
          <w:p w14:paraId="1C2A42AD">
            <w:pPr>
              <w:widowControl/>
              <w:adjustRightInd w:val="0"/>
              <w:snapToGrid w:val="0"/>
              <w:jc w:val="right"/>
              <w:rPr>
                <w:bCs/>
                <w:kern w:val="0"/>
                <w:szCs w:val="21"/>
                <w:lang w:val="zh-CN"/>
              </w:rPr>
            </w:pPr>
            <w:r>
              <w:rPr>
                <w:rFonts w:hint="eastAsia"/>
                <w:bCs/>
                <w:kern w:val="0"/>
                <w:szCs w:val="21"/>
                <w:lang w:val="zh-CN"/>
              </w:rPr>
              <w:t>4,500.00</w:t>
            </w:r>
          </w:p>
        </w:tc>
        <w:tc>
          <w:tcPr>
            <w:tcW w:w="1573" w:type="dxa"/>
            <w:vAlign w:val="center"/>
          </w:tcPr>
          <w:p w14:paraId="31A2832D">
            <w:pPr>
              <w:widowControl/>
              <w:adjustRightInd w:val="0"/>
              <w:snapToGrid w:val="0"/>
              <w:jc w:val="right"/>
              <w:rPr>
                <w:bCs/>
                <w:kern w:val="0"/>
                <w:szCs w:val="21"/>
                <w:lang w:val="zh-CN"/>
              </w:rPr>
            </w:pPr>
            <w:r>
              <w:rPr>
                <w:bCs/>
                <w:kern w:val="0"/>
                <w:szCs w:val="21"/>
                <w:lang w:val="zh-CN"/>
              </w:rPr>
              <w:t>4,500.00</w:t>
            </w:r>
          </w:p>
        </w:tc>
      </w:tr>
      <w:tr w14:paraId="74394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vMerge w:val="restart"/>
            <w:vAlign w:val="center"/>
          </w:tcPr>
          <w:p w14:paraId="519139DA">
            <w:pPr>
              <w:pStyle w:val="22"/>
              <w:spacing w:line="240" w:lineRule="auto"/>
              <w:ind w:firstLine="0" w:firstLineChars="0"/>
              <w:jc w:val="center"/>
              <w:rPr>
                <w:rFonts w:hint="eastAsia" w:ascii="宋体" w:hAnsi="宋体"/>
                <w:sz w:val="21"/>
                <w:szCs w:val="21"/>
              </w:rPr>
            </w:pPr>
            <w:r>
              <w:rPr>
                <w:rFonts w:ascii="宋体" w:hAnsi="宋体"/>
                <w:bCs/>
                <w:sz w:val="21"/>
                <w:szCs w:val="21"/>
                <w:lang w:val="zh-CN"/>
              </w:rPr>
              <w:t>3</w:t>
            </w:r>
          </w:p>
        </w:tc>
        <w:tc>
          <w:tcPr>
            <w:tcW w:w="2298" w:type="dxa"/>
            <w:vMerge w:val="restart"/>
            <w:vAlign w:val="center"/>
          </w:tcPr>
          <w:p w14:paraId="6F450FC1">
            <w:pPr>
              <w:pStyle w:val="22"/>
              <w:spacing w:line="240" w:lineRule="auto"/>
              <w:ind w:firstLine="0" w:firstLineChars="0"/>
              <w:jc w:val="center"/>
              <w:rPr>
                <w:rFonts w:hint="eastAsia" w:ascii="宋体" w:hAnsi="宋体"/>
                <w:sz w:val="21"/>
                <w:szCs w:val="21"/>
              </w:rPr>
            </w:pPr>
            <w:r>
              <w:rPr>
                <w:rFonts w:hint="eastAsia" w:ascii="宋体" w:hAnsi="宋体"/>
                <w:bCs/>
                <w:sz w:val="21"/>
                <w:szCs w:val="21"/>
                <w:lang w:val="zh-CN"/>
              </w:rPr>
              <w:t>安全智能光储系统智能制造项目</w:t>
            </w:r>
          </w:p>
        </w:tc>
        <w:tc>
          <w:tcPr>
            <w:tcW w:w="1313" w:type="dxa"/>
            <w:vMerge w:val="restart"/>
            <w:vAlign w:val="center"/>
          </w:tcPr>
          <w:p w14:paraId="42FA33A1">
            <w:pPr>
              <w:widowControl/>
              <w:adjustRightInd w:val="0"/>
              <w:snapToGrid w:val="0"/>
              <w:jc w:val="right"/>
              <w:rPr>
                <w:bCs/>
                <w:kern w:val="0"/>
                <w:szCs w:val="21"/>
                <w:lang w:val="zh-CN"/>
              </w:rPr>
            </w:pPr>
            <w:r>
              <w:rPr>
                <w:rFonts w:hint="eastAsia"/>
                <w:bCs/>
                <w:kern w:val="0"/>
                <w:szCs w:val="21"/>
                <w:lang w:val="zh-CN"/>
              </w:rPr>
              <w:t>5,487.20</w:t>
            </w:r>
          </w:p>
        </w:tc>
        <w:tc>
          <w:tcPr>
            <w:tcW w:w="1444" w:type="dxa"/>
            <w:vMerge w:val="restart"/>
            <w:vAlign w:val="center"/>
          </w:tcPr>
          <w:p w14:paraId="67233FD1">
            <w:pPr>
              <w:widowControl/>
              <w:adjustRightInd w:val="0"/>
              <w:snapToGrid w:val="0"/>
              <w:jc w:val="right"/>
              <w:rPr>
                <w:bCs/>
                <w:kern w:val="0"/>
                <w:szCs w:val="21"/>
                <w:lang w:val="zh-CN"/>
              </w:rPr>
            </w:pPr>
            <w:r>
              <w:rPr>
                <w:rFonts w:hint="eastAsia"/>
                <w:bCs/>
                <w:kern w:val="0"/>
                <w:szCs w:val="21"/>
                <w:lang w:val="zh-CN"/>
              </w:rPr>
              <w:t>3,500.00</w:t>
            </w:r>
          </w:p>
        </w:tc>
        <w:tc>
          <w:tcPr>
            <w:tcW w:w="1444" w:type="dxa"/>
            <w:vMerge w:val="restart"/>
            <w:vAlign w:val="center"/>
          </w:tcPr>
          <w:p w14:paraId="68F2C351">
            <w:pPr>
              <w:widowControl/>
              <w:adjustRightInd w:val="0"/>
              <w:snapToGrid w:val="0"/>
              <w:jc w:val="right"/>
              <w:rPr>
                <w:bCs/>
                <w:kern w:val="0"/>
                <w:szCs w:val="21"/>
                <w:lang w:val="zh-CN"/>
              </w:rPr>
            </w:pPr>
            <w:r>
              <w:rPr>
                <w:rFonts w:hint="eastAsia"/>
                <w:bCs/>
                <w:kern w:val="0"/>
                <w:szCs w:val="21"/>
                <w:lang w:val="zh-CN"/>
              </w:rPr>
              <w:t>3,500.00</w:t>
            </w:r>
          </w:p>
        </w:tc>
        <w:tc>
          <w:tcPr>
            <w:tcW w:w="1573" w:type="dxa"/>
            <w:vMerge w:val="restart"/>
            <w:vAlign w:val="center"/>
          </w:tcPr>
          <w:p w14:paraId="728F4197">
            <w:pPr>
              <w:widowControl/>
              <w:adjustRightInd w:val="0"/>
              <w:snapToGrid w:val="0"/>
              <w:jc w:val="right"/>
              <w:rPr>
                <w:bCs/>
                <w:kern w:val="0"/>
                <w:szCs w:val="21"/>
                <w:lang w:val="zh-CN"/>
              </w:rPr>
            </w:pPr>
            <w:r>
              <w:rPr>
                <w:rFonts w:hint="eastAsia"/>
                <w:bCs/>
                <w:kern w:val="0"/>
                <w:szCs w:val="21"/>
                <w:lang w:val="zh-CN"/>
              </w:rPr>
              <w:t>132</w:t>
            </w:r>
            <w:r>
              <w:rPr>
                <w:bCs/>
                <w:kern w:val="0"/>
                <w:szCs w:val="21"/>
                <w:lang w:val="zh-CN"/>
              </w:rPr>
              <w:t>.</w:t>
            </w:r>
            <w:r>
              <w:rPr>
                <w:rFonts w:hint="eastAsia"/>
                <w:bCs/>
                <w:kern w:val="0"/>
                <w:szCs w:val="21"/>
                <w:lang w:val="zh-CN"/>
              </w:rPr>
              <w:t>34</w:t>
            </w:r>
          </w:p>
        </w:tc>
      </w:tr>
      <w:tr w14:paraId="75487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5" w:type="dxa"/>
            <w:vMerge w:val="continue"/>
            <w:vAlign w:val="center"/>
          </w:tcPr>
          <w:p w14:paraId="346FC1E8">
            <w:pPr>
              <w:pStyle w:val="22"/>
              <w:spacing w:line="240" w:lineRule="auto"/>
              <w:ind w:firstLine="0" w:firstLineChars="0"/>
              <w:jc w:val="center"/>
              <w:rPr>
                <w:rFonts w:hint="eastAsia" w:ascii="宋体" w:hAnsi="宋体"/>
                <w:bCs/>
                <w:sz w:val="21"/>
                <w:szCs w:val="21"/>
                <w:lang w:val="zh-CN"/>
              </w:rPr>
            </w:pPr>
          </w:p>
        </w:tc>
        <w:tc>
          <w:tcPr>
            <w:tcW w:w="2298" w:type="dxa"/>
            <w:vMerge w:val="continue"/>
            <w:vAlign w:val="center"/>
          </w:tcPr>
          <w:p w14:paraId="5AAFFD2E">
            <w:pPr>
              <w:pStyle w:val="22"/>
              <w:spacing w:line="240" w:lineRule="auto"/>
              <w:ind w:firstLine="0" w:firstLineChars="0"/>
              <w:jc w:val="center"/>
              <w:rPr>
                <w:rFonts w:hint="eastAsia" w:ascii="宋体" w:hAnsi="宋体"/>
                <w:bCs/>
                <w:sz w:val="21"/>
                <w:szCs w:val="21"/>
                <w:lang w:val="zh-CN"/>
              </w:rPr>
            </w:pPr>
          </w:p>
        </w:tc>
        <w:tc>
          <w:tcPr>
            <w:tcW w:w="1313" w:type="dxa"/>
            <w:vMerge w:val="continue"/>
            <w:vAlign w:val="center"/>
          </w:tcPr>
          <w:p w14:paraId="2377555C">
            <w:pPr>
              <w:widowControl/>
              <w:adjustRightInd w:val="0"/>
              <w:snapToGrid w:val="0"/>
              <w:jc w:val="right"/>
              <w:rPr>
                <w:bCs/>
                <w:kern w:val="0"/>
                <w:szCs w:val="21"/>
                <w:lang w:val="zh-CN"/>
              </w:rPr>
            </w:pPr>
          </w:p>
        </w:tc>
        <w:tc>
          <w:tcPr>
            <w:tcW w:w="1444" w:type="dxa"/>
            <w:vMerge w:val="continue"/>
            <w:vAlign w:val="center"/>
          </w:tcPr>
          <w:p w14:paraId="37329F18">
            <w:pPr>
              <w:widowControl/>
              <w:adjustRightInd w:val="0"/>
              <w:snapToGrid w:val="0"/>
              <w:jc w:val="right"/>
              <w:rPr>
                <w:bCs/>
                <w:kern w:val="0"/>
                <w:szCs w:val="21"/>
                <w:lang w:val="zh-CN"/>
              </w:rPr>
            </w:pPr>
          </w:p>
        </w:tc>
        <w:tc>
          <w:tcPr>
            <w:tcW w:w="1444" w:type="dxa"/>
            <w:vMerge w:val="continue"/>
            <w:vAlign w:val="center"/>
          </w:tcPr>
          <w:p w14:paraId="1D0DF9F5">
            <w:pPr>
              <w:widowControl/>
              <w:adjustRightInd w:val="0"/>
              <w:snapToGrid w:val="0"/>
              <w:jc w:val="right"/>
              <w:rPr>
                <w:bCs/>
                <w:kern w:val="0"/>
                <w:szCs w:val="21"/>
                <w:lang w:val="zh-CN"/>
              </w:rPr>
            </w:pPr>
          </w:p>
        </w:tc>
        <w:tc>
          <w:tcPr>
            <w:tcW w:w="1573" w:type="dxa"/>
            <w:vMerge w:val="continue"/>
            <w:vAlign w:val="center"/>
          </w:tcPr>
          <w:p w14:paraId="36750656">
            <w:pPr>
              <w:widowControl/>
              <w:adjustRightInd w:val="0"/>
              <w:snapToGrid w:val="0"/>
              <w:jc w:val="right"/>
              <w:rPr>
                <w:bCs/>
                <w:kern w:val="0"/>
                <w:szCs w:val="21"/>
                <w:lang w:val="zh-CN"/>
              </w:rPr>
            </w:pPr>
          </w:p>
        </w:tc>
      </w:tr>
      <w:tr w14:paraId="0291D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5" w:type="dxa"/>
            <w:vAlign w:val="center"/>
          </w:tcPr>
          <w:p w14:paraId="19808A61">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4</w:t>
            </w:r>
          </w:p>
        </w:tc>
        <w:tc>
          <w:tcPr>
            <w:tcW w:w="2298" w:type="dxa"/>
            <w:vAlign w:val="center"/>
          </w:tcPr>
          <w:p w14:paraId="448493DB">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补充流动资金</w:t>
            </w:r>
          </w:p>
        </w:tc>
        <w:tc>
          <w:tcPr>
            <w:tcW w:w="1313" w:type="dxa"/>
            <w:vAlign w:val="center"/>
          </w:tcPr>
          <w:p w14:paraId="3051DD3A">
            <w:pPr>
              <w:widowControl/>
              <w:adjustRightInd w:val="0"/>
              <w:snapToGrid w:val="0"/>
              <w:jc w:val="right"/>
              <w:rPr>
                <w:bCs/>
                <w:kern w:val="0"/>
                <w:szCs w:val="21"/>
                <w:lang w:val="zh-CN"/>
              </w:rPr>
            </w:pPr>
            <w:r>
              <w:rPr>
                <w:rFonts w:hint="eastAsia"/>
                <w:bCs/>
                <w:kern w:val="0"/>
                <w:szCs w:val="21"/>
                <w:lang w:val="zh-CN"/>
              </w:rPr>
              <w:t>12,500.00</w:t>
            </w:r>
          </w:p>
        </w:tc>
        <w:tc>
          <w:tcPr>
            <w:tcW w:w="1444" w:type="dxa"/>
            <w:vAlign w:val="center"/>
          </w:tcPr>
          <w:p w14:paraId="4EF2A797">
            <w:pPr>
              <w:widowControl/>
              <w:adjustRightInd w:val="0"/>
              <w:snapToGrid w:val="0"/>
              <w:jc w:val="right"/>
              <w:rPr>
                <w:bCs/>
                <w:kern w:val="0"/>
                <w:szCs w:val="21"/>
                <w:lang w:val="zh-CN"/>
              </w:rPr>
            </w:pPr>
            <w:r>
              <w:rPr>
                <w:rFonts w:hint="eastAsia"/>
                <w:bCs/>
                <w:kern w:val="0"/>
                <w:szCs w:val="21"/>
                <w:lang w:val="zh-CN"/>
              </w:rPr>
              <w:t>10,800.00</w:t>
            </w:r>
          </w:p>
        </w:tc>
        <w:tc>
          <w:tcPr>
            <w:tcW w:w="1444" w:type="dxa"/>
            <w:vAlign w:val="center"/>
          </w:tcPr>
          <w:p w14:paraId="613CA139">
            <w:pPr>
              <w:widowControl/>
              <w:adjustRightInd w:val="0"/>
              <w:snapToGrid w:val="0"/>
              <w:jc w:val="right"/>
              <w:rPr>
                <w:bCs/>
                <w:kern w:val="0"/>
                <w:szCs w:val="21"/>
                <w:lang w:val="zh-CN"/>
              </w:rPr>
            </w:pPr>
            <w:r>
              <w:rPr>
                <w:rFonts w:hint="eastAsia"/>
                <w:bCs/>
                <w:kern w:val="0"/>
                <w:szCs w:val="21"/>
                <w:lang w:val="zh-CN"/>
              </w:rPr>
              <w:t>10,800.00</w:t>
            </w:r>
          </w:p>
        </w:tc>
        <w:tc>
          <w:tcPr>
            <w:tcW w:w="1573" w:type="dxa"/>
            <w:vAlign w:val="center"/>
          </w:tcPr>
          <w:p w14:paraId="779F6FCE">
            <w:pPr>
              <w:widowControl/>
              <w:adjustRightInd w:val="0"/>
              <w:snapToGrid w:val="0"/>
              <w:jc w:val="right"/>
              <w:rPr>
                <w:bCs/>
                <w:kern w:val="0"/>
                <w:szCs w:val="21"/>
                <w:lang w:val="zh-CN"/>
              </w:rPr>
            </w:pPr>
            <w:r>
              <w:rPr>
                <w:rFonts w:hint="eastAsia"/>
                <w:bCs/>
                <w:kern w:val="0"/>
                <w:szCs w:val="21"/>
                <w:lang w:val="zh-CN"/>
              </w:rPr>
              <w:t>10,800.00</w:t>
            </w:r>
          </w:p>
        </w:tc>
      </w:tr>
      <w:tr w14:paraId="55B66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5" w:type="dxa"/>
            <w:vAlign w:val="center"/>
          </w:tcPr>
          <w:p w14:paraId="519D4E11">
            <w:pPr>
              <w:pStyle w:val="22"/>
              <w:spacing w:line="240" w:lineRule="auto"/>
              <w:ind w:firstLine="0" w:firstLineChars="0"/>
              <w:jc w:val="center"/>
              <w:rPr>
                <w:rFonts w:hint="eastAsia" w:ascii="宋体" w:hAnsi="宋体"/>
                <w:bCs/>
                <w:sz w:val="21"/>
                <w:szCs w:val="21"/>
              </w:rPr>
            </w:pPr>
            <w:r>
              <w:rPr>
                <w:rFonts w:hint="eastAsia" w:ascii="宋体" w:hAnsi="宋体"/>
                <w:bCs/>
                <w:sz w:val="21"/>
                <w:szCs w:val="21"/>
              </w:rPr>
              <w:t>5</w:t>
            </w:r>
          </w:p>
        </w:tc>
        <w:tc>
          <w:tcPr>
            <w:tcW w:w="2298" w:type="dxa"/>
            <w:vAlign w:val="center"/>
          </w:tcPr>
          <w:p w14:paraId="2A231AA9">
            <w:pPr>
              <w:pStyle w:val="22"/>
              <w:spacing w:line="240" w:lineRule="auto"/>
              <w:ind w:firstLine="0" w:firstLineChars="0"/>
              <w:jc w:val="center"/>
              <w:rPr>
                <w:rFonts w:hint="eastAsia" w:ascii="宋体" w:hAnsi="宋体"/>
                <w:bCs/>
                <w:sz w:val="21"/>
                <w:szCs w:val="21"/>
                <w:lang w:val="zh-CN"/>
              </w:rPr>
            </w:pPr>
            <w:r>
              <w:rPr>
                <w:rFonts w:hint="eastAsia" w:ascii="宋体" w:hAnsi="宋体"/>
                <w:bCs/>
                <w:sz w:val="21"/>
                <w:szCs w:val="21"/>
                <w:lang w:val="zh-CN"/>
              </w:rPr>
              <w:t>光模块及光器件产品改建项目</w:t>
            </w:r>
          </w:p>
        </w:tc>
        <w:tc>
          <w:tcPr>
            <w:tcW w:w="1313" w:type="dxa"/>
            <w:vAlign w:val="center"/>
          </w:tcPr>
          <w:p w14:paraId="29417974">
            <w:pPr>
              <w:widowControl/>
              <w:adjustRightInd w:val="0"/>
              <w:snapToGrid w:val="0"/>
              <w:jc w:val="right"/>
              <w:rPr>
                <w:bCs/>
                <w:kern w:val="0"/>
                <w:szCs w:val="21"/>
                <w:lang w:val="zh-CN"/>
              </w:rPr>
            </w:pPr>
            <w:r>
              <w:rPr>
                <w:rFonts w:hint="eastAsia"/>
                <w:bCs/>
                <w:kern w:val="0"/>
                <w:szCs w:val="21"/>
                <w:lang w:val="zh-CN"/>
              </w:rPr>
              <w:t>13,475.98</w:t>
            </w:r>
          </w:p>
        </w:tc>
        <w:tc>
          <w:tcPr>
            <w:tcW w:w="1444" w:type="dxa"/>
            <w:vAlign w:val="center"/>
          </w:tcPr>
          <w:p w14:paraId="4301509C">
            <w:pPr>
              <w:widowControl/>
              <w:adjustRightInd w:val="0"/>
              <w:snapToGrid w:val="0"/>
              <w:jc w:val="right"/>
              <w:rPr>
                <w:bCs/>
                <w:kern w:val="0"/>
                <w:szCs w:val="21"/>
              </w:rPr>
            </w:pPr>
            <w:r>
              <w:rPr>
                <w:rFonts w:hint="eastAsia"/>
                <w:bCs/>
                <w:kern w:val="0"/>
                <w:szCs w:val="21"/>
              </w:rPr>
              <w:t>0.00</w:t>
            </w:r>
          </w:p>
        </w:tc>
        <w:tc>
          <w:tcPr>
            <w:tcW w:w="1444" w:type="dxa"/>
            <w:vAlign w:val="center"/>
          </w:tcPr>
          <w:p w14:paraId="5A4C29AA">
            <w:pPr>
              <w:widowControl/>
              <w:adjustRightInd w:val="0"/>
              <w:snapToGrid w:val="0"/>
              <w:jc w:val="right"/>
              <w:rPr>
                <w:bCs/>
                <w:kern w:val="0"/>
                <w:szCs w:val="21"/>
              </w:rPr>
            </w:pPr>
            <w:r>
              <w:rPr>
                <w:rFonts w:hint="eastAsia"/>
                <w:bCs/>
                <w:kern w:val="0"/>
                <w:szCs w:val="21"/>
              </w:rPr>
              <w:t>0.00</w:t>
            </w:r>
          </w:p>
        </w:tc>
        <w:tc>
          <w:tcPr>
            <w:tcW w:w="1573" w:type="dxa"/>
            <w:vAlign w:val="center"/>
          </w:tcPr>
          <w:p w14:paraId="3362DF24">
            <w:pPr>
              <w:widowControl/>
              <w:adjustRightInd w:val="0"/>
              <w:snapToGrid w:val="0"/>
              <w:jc w:val="right"/>
              <w:rPr>
                <w:bCs/>
                <w:kern w:val="0"/>
                <w:szCs w:val="21"/>
                <w:lang w:val="zh-CN"/>
              </w:rPr>
            </w:pPr>
            <w:r>
              <w:rPr>
                <w:rFonts w:hint="eastAsia"/>
                <w:bCs/>
                <w:kern w:val="0"/>
                <w:szCs w:val="21"/>
                <w:lang w:val="zh-CN"/>
              </w:rPr>
              <w:t>12,567.66</w:t>
            </w:r>
          </w:p>
        </w:tc>
      </w:tr>
      <w:tr w14:paraId="69FD3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23" w:type="dxa"/>
            <w:gridSpan w:val="2"/>
            <w:vAlign w:val="center"/>
          </w:tcPr>
          <w:p w14:paraId="269F266C">
            <w:pPr>
              <w:pStyle w:val="22"/>
              <w:spacing w:line="240" w:lineRule="auto"/>
              <w:ind w:firstLine="0" w:firstLineChars="0"/>
              <w:jc w:val="center"/>
              <w:rPr>
                <w:rFonts w:hint="eastAsia" w:ascii="宋体" w:hAnsi="宋体"/>
                <w:b/>
                <w:bCs/>
                <w:sz w:val="21"/>
                <w:szCs w:val="21"/>
              </w:rPr>
            </w:pPr>
            <w:r>
              <w:rPr>
                <w:rFonts w:hint="eastAsia" w:ascii="宋体" w:hAnsi="宋体"/>
                <w:b/>
                <w:bCs/>
                <w:sz w:val="21"/>
                <w:szCs w:val="21"/>
              </w:rPr>
              <w:t>合计</w:t>
            </w:r>
          </w:p>
        </w:tc>
        <w:tc>
          <w:tcPr>
            <w:tcW w:w="1313" w:type="dxa"/>
            <w:vAlign w:val="center"/>
          </w:tcPr>
          <w:p w14:paraId="4002C11E">
            <w:pPr>
              <w:widowControl/>
              <w:adjustRightInd w:val="0"/>
              <w:snapToGrid w:val="0"/>
              <w:jc w:val="right"/>
              <w:rPr>
                <w:b/>
                <w:kern w:val="0"/>
                <w:szCs w:val="21"/>
                <w:lang w:val="zh-CN"/>
              </w:rPr>
            </w:pPr>
            <w:r>
              <w:rPr>
                <w:rFonts w:hint="eastAsia"/>
                <w:b/>
                <w:kern w:val="0"/>
                <w:szCs w:val="21"/>
                <w:lang w:val="zh-CN"/>
              </w:rPr>
              <w:t>51,618.65</w:t>
            </w:r>
          </w:p>
        </w:tc>
        <w:tc>
          <w:tcPr>
            <w:tcW w:w="1444" w:type="dxa"/>
            <w:vAlign w:val="center"/>
          </w:tcPr>
          <w:p w14:paraId="649C519C">
            <w:pPr>
              <w:widowControl/>
              <w:adjustRightInd w:val="0"/>
              <w:snapToGrid w:val="0"/>
              <w:jc w:val="right"/>
              <w:rPr>
                <w:b/>
                <w:kern w:val="0"/>
                <w:szCs w:val="21"/>
                <w:lang w:val="zh-CN"/>
              </w:rPr>
            </w:pPr>
            <w:r>
              <w:rPr>
                <w:rFonts w:hint="eastAsia"/>
                <w:b/>
                <w:kern w:val="0"/>
                <w:szCs w:val="21"/>
                <w:lang w:val="zh-CN"/>
              </w:rPr>
              <w:t>41,700.00</w:t>
            </w:r>
          </w:p>
        </w:tc>
        <w:tc>
          <w:tcPr>
            <w:tcW w:w="1444" w:type="dxa"/>
            <w:vAlign w:val="center"/>
          </w:tcPr>
          <w:p w14:paraId="224AAC3E">
            <w:pPr>
              <w:widowControl/>
              <w:adjustRightInd w:val="0"/>
              <w:snapToGrid w:val="0"/>
              <w:jc w:val="right"/>
              <w:rPr>
                <w:b/>
                <w:kern w:val="0"/>
                <w:szCs w:val="21"/>
                <w:lang w:val="zh-CN"/>
              </w:rPr>
            </w:pPr>
            <w:r>
              <w:rPr>
                <w:rFonts w:hint="eastAsia"/>
                <w:b/>
                <w:kern w:val="0"/>
                <w:szCs w:val="21"/>
                <w:lang w:val="zh-CN"/>
              </w:rPr>
              <w:t>40,759.47</w:t>
            </w:r>
          </w:p>
        </w:tc>
        <w:tc>
          <w:tcPr>
            <w:tcW w:w="1573" w:type="dxa"/>
            <w:vAlign w:val="center"/>
          </w:tcPr>
          <w:p w14:paraId="17C383F0">
            <w:pPr>
              <w:widowControl/>
              <w:adjustRightInd w:val="0"/>
              <w:snapToGrid w:val="0"/>
              <w:jc w:val="right"/>
              <w:rPr>
                <w:b/>
                <w:kern w:val="0"/>
                <w:szCs w:val="21"/>
                <w:lang w:val="zh-CN"/>
              </w:rPr>
            </w:pPr>
            <w:r>
              <w:rPr>
                <w:rFonts w:hint="eastAsia"/>
                <w:b/>
                <w:kern w:val="0"/>
                <w:szCs w:val="21"/>
                <w:lang w:val="zh-CN"/>
              </w:rPr>
              <w:t>40,759.47</w:t>
            </w:r>
          </w:p>
        </w:tc>
      </w:tr>
    </w:tbl>
    <w:p w14:paraId="2A71C0C0">
      <w:pPr>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截至2024年12月31日，公司募集资金的使用情况如下：</w:t>
      </w:r>
    </w:p>
    <w:p w14:paraId="2726C733">
      <w:pPr>
        <w:spacing w:before="0" w:beforeLines="0" w:after="0" w:afterLines="0" w:line="360" w:lineRule="auto"/>
        <w:ind w:firstLine="480" w:firstLineChars="200"/>
        <w:jc w:val="right"/>
        <w:rPr>
          <w:rFonts w:hint="eastAsia" w:ascii="宋体" w:hAnsi="宋体" w:cs="宋体"/>
          <w:sz w:val="24"/>
        </w:rPr>
      </w:pPr>
      <w:r>
        <w:rPr>
          <w:rFonts w:hint="eastAsia" w:ascii="宋体" w:hAnsi="宋体"/>
          <w:sz w:val="24"/>
        </w:rPr>
        <w:t>单位：万元</w:t>
      </w:r>
    </w:p>
    <w:tbl>
      <w:tblPr>
        <w:tblStyle w:val="7"/>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401"/>
        <w:gridCol w:w="1787"/>
        <w:gridCol w:w="1873"/>
        <w:gridCol w:w="1877"/>
      </w:tblGrid>
      <w:tr w14:paraId="0E44F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1" w:hRule="atLeast"/>
          <w:jc w:val="center"/>
        </w:trPr>
        <w:tc>
          <w:tcPr>
            <w:tcW w:w="387" w:type="pct"/>
            <w:tcBorders>
              <w:tl2br w:val="nil"/>
              <w:tr2bl w:val="nil"/>
            </w:tcBorders>
            <w:vAlign w:val="center"/>
          </w:tcPr>
          <w:p w14:paraId="00C00D17">
            <w:pPr>
              <w:widowControl/>
              <w:jc w:val="center"/>
              <w:rPr>
                <w:rFonts w:hint="eastAsia" w:ascii="宋体" w:hAnsi="宋体"/>
                <w:b/>
                <w:bCs/>
                <w:szCs w:val="21"/>
              </w:rPr>
            </w:pPr>
            <w:r>
              <w:rPr>
                <w:rFonts w:hint="eastAsia" w:ascii="宋体" w:hAnsi="宋体"/>
                <w:b/>
                <w:bCs/>
                <w:szCs w:val="21"/>
              </w:rPr>
              <w:t>序号</w:t>
            </w:r>
          </w:p>
        </w:tc>
        <w:tc>
          <w:tcPr>
            <w:tcW w:w="1394" w:type="pct"/>
            <w:tcBorders>
              <w:tl2br w:val="nil"/>
              <w:tr2bl w:val="nil"/>
            </w:tcBorders>
            <w:vAlign w:val="center"/>
          </w:tcPr>
          <w:p w14:paraId="555DCE1F">
            <w:pPr>
              <w:widowControl/>
              <w:jc w:val="center"/>
              <w:rPr>
                <w:b/>
                <w:bCs/>
                <w:color w:val="000000"/>
                <w:kern w:val="0"/>
                <w:szCs w:val="21"/>
              </w:rPr>
            </w:pPr>
            <w:r>
              <w:rPr>
                <w:rFonts w:hint="eastAsia" w:ascii="宋体" w:hAnsi="宋体"/>
                <w:b/>
                <w:bCs/>
                <w:szCs w:val="21"/>
                <w:lang w:val="zh-CN"/>
              </w:rPr>
              <w:t>项目名称</w:t>
            </w:r>
          </w:p>
        </w:tc>
        <w:tc>
          <w:tcPr>
            <w:tcW w:w="1038" w:type="pct"/>
            <w:tcBorders>
              <w:tl2br w:val="nil"/>
              <w:tr2bl w:val="nil"/>
            </w:tcBorders>
            <w:vAlign w:val="center"/>
          </w:tcPr>
          <w:p w14:paraId="60F9F5A7">
            <w:pPr>
              <w:widowControl/>
              <w:jc w:val="center"/>
              <w:rPr>
                <w:b/>
                <w:bCs/>
                <w:color w:val="000000"/>
                <w:kern w:val="0"/>
                <w:szCs w:val="21"/>
              </w:rPr>
            </w:pPr>
            <w:r>
              <w:rPr>
                <w:b/>
                <w:bCs/>
                <w:color w:val="000000"/>
                <w:kern w:val="0"/>
                <w:szCs w:val="21"/>
              </w:rPr>
              <w:t>募集资金</w:t>
            </w:r>
            <w:r>
              <w:rPr>
                <w:rFonts w:hint="eastAsia"/>
                <w:b/>
                <w:bCs/>
                <w:color w:val="000000"/>
                <w:kern w:val="0"/>
                <w:szCs w:val="21"/>
              </w:rPr>
              <w:t>调整后</w:t>
            </w:r>
          </w:p>
          <w:p w14:paraId="1087791D">
            <w:pPr>
              <w:widowControl/>
              <w:jc w:val="center"/>
              <w:rPr>
                <w:b/>
                <w:bCs/>
                <w:color w:val="000000"/>
                <w:kern w:val="0"/>
                <w:szCs w:val="21"/>
              </w:rPr>
            </w:pPr>
            <w:r>
              <w:rPr>
                <w:rFonts w:hint="eastAsia"/>
                <w:b/>
                <w:bCs/>
                <w:color w:val="000000"/>
                <w:kern w:val="0"/>
                <w:szCs w:val="21"/>
              </w:rPr>
              <w:t>投资</w:t>
            </w:r>
            <w:r>
              <w:rPr>
                <w:b/>
                <w:bCs/>
                <w:color w:val="000000"/>
                <w:kern w:val="0"/>
                <w:szCs w:val="21"/>
              </w:rPr>
              <w:t>总额</w:t>
            </w:r>
          </w:p>
        </w:tc>
        <w:tc>
          <w:tcPr>
            <w:tcW w:w="1088" w:type="pct"/>
            <w:tcBorders>
              <w:tl2br w:val="nil"/>
              <w:tr2bl w:val="nil"/>
            </w:tcBorders>
            <w:vAlign w:val="center"/>
          </w:tcPr>
          <w:p w14:paraId="59B4D2EE">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截至2024年12月31日投入金额</w:t>
            </w:r>
          </w:p>
        </w:tc>
        <w:tc>
          <w:tcPr>
            <w:tcW w:w="1090" w:type="pct"/>
            <w:tcBorders>
              <w:tl2br w:val="nil"/>
              <w:tr2bl w:val="nil"/>
            </w:tcBorders>
            <w:vAlign w:val="center"/>
          </w:tcPr>
          <w:p w14:paraId="05731B4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截至2024年12月31日投资进度</w:t>
            </w:r>
          </w:p>
        </w:tc>
      </w:tr>
      <w:tr w14:paraId="27BC7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87" w:type="pct"/>
            <w:tcBorders>
              <w:tl2br w:val="nil"/>
              <w:tr2bl w:val="nil"/>
            </w:tcBorders>
            <w:vAlign w:val="center"/>
          </w:tcPr>
          <w:p w14:paraId="2BF43608">
            <w:pPr>
              <w:pStyle w:val="22"/>
              <w:spacing w:line="240" w:lineRule="auto"/>
              <w:ind w:firstLine="0" w:firstLineChars="0"/>
              <w:jc w:val="center"/>
              <w:rPr>
                <w:color w:val="000000"/>
                <w:kern w:val="0"/>
                <w:szCs w:val="21"/>
              </w:rPr>
            </w:pPr>
            <w:r>
              <w:rPr>
                <w:rFonts w:ascii="宋体" w:hAnsi="宋体"/>
                <w:bCs/>
                <w:sz w:val="21"/>
                <w:szCs w:val="21"/>
                <w:lang w:val="zh-CN"/>
              </w:rPr>
              <w:t>1</w:t>
            </w:r>
          </w:p>
        </w:tc>
        <w:tc>
          <w:tcPr>
            <w:tcW w:w="1394" w:type="pct"/>
            <w:tcBorders>
              <w:tl2br w:val="nil"/>
              <w:tr2bl w:val="nil"/>
            </w:tcBorders>
            <w:vAlign w:val="center"/>
          </w:tcPr>
          <w:p w14:paraId="6ECD1A38">
            <w:pPr>
              <w:pStyle w:val="22"/>
              <w:spacing w:line="240" w:lineRule="auto"/>
              <w:ind w:firstLine="0" w:firstLineChars="0"/>
              <w:jc w:val="center"/>
              <w:rPr>
                <w:color w:val="000000"/>
                <w:kern w:val="0"/>
                <w:szCs w:val="21"/>
              </w:rPr>
            </w:pPr>
            <w:r>
              <w:rPr>
                <w:rFonts w:hint="eastAsia" w:ascii="宋体" w:hAnsi="宋体"/>
                <w:bCs/>
                <w:sz w:val="21"/>
                <w:szCs w:val="21"/>
                <w:lang w:val="zh-CN"/>
              </w:rPr>
              <w:t>光伏储能和片式通信磁性元器件智能制造项目</w:t>
            </w:r>
          </w:p>
        </w:tc>
        <w:tc>
          <w:tcPr>
            <w:tcW w:w="1038" w:type="pct"/>
            <w:tcBorders>
              <w:tl2br w:val="nil"/>
              <w:tr2bl w:val="nil"/>
            </w:tcBorders>
            <w:vAlign w:val="center"/>
          </w:tcPr>
          <w:p w14:paraId="7F3B31C3">
            <w:pPr>
              <w:widowControl/>
              <w:adjustRightInd w:val="0"/>
              <w:snapToGrid w:val="0"/>
              <w:jc w:val="right"/>
              <w:rPr>
                <w:bCs/>
                <w:kern w:val="0"/>
                <w:szCs w:val="21"/>
                <w:lang w:val="zh-CN"/>
              </w:rPr>
            </w:pPr>
            <w:r>
              <w:rPr>
                <w:rFonts w:hint="eastAsia"/>
                <w:bCs/>
                <w:kern w:val="0"/>
                <w:szCs w:val="21"/>
              </w:rPr>
              <w:t>12</w:t>
            </w:r>
            <w:r>
              <w:rPr>
                <w:rFonts w:hint="eastAsia"/>
                <w:bCs/>
                <w:kern w:val="0"/>
                <w:szCs w:val="21"/>
                <w:lang w:val="zh-CN"/>
              </w:rPr>
              <w:t>,</w:t>
            </w:r>
            <w:r>
              <w:rPr>
                <w:rFonts w:hint="eastAsia"/>
                <w:bCs/>
                <w:kern w:val="0"/>
                <w:szCs w:val="21"/>
              </w:rPr>
              <w:t>7</w:t>
            </w:r>
            <w:r>
              <w:rPr>
                <w:rFonts w:hint="eastAsia"/>
                <w:bCs/>
                <w:kern w:val="0"/>
                <w:szCs w:val="21"/>
                <w:lang w:val="zh-CN"/>
              </w:rPr>
              <w:t>59.47</w:t>
            </w:r>
          </w:p>
        </w:tc>
        <w:tc>
          <w:tcPr>
            <w:tcW w:w="1088" w:type="pct"/>
            <w:tcBorders>
              <w:tl2br w:val="nil"/>
              <w:tr2bl w:val="nil"/>
            </w:tcBorders>
            <w:vAlign w:val="center"/>
          </w:tcPr>
          <w:p w14:paraId="269EAD22">
            <w:pPr>
              <w:widowControl/>
              <w:adjustRightInd w:val="0"/>
              <w:snapToGrid w:val="0"/>
              <w:jc w:val="right"/>
              <w:rPr>
                <w:bCs/>
                <w:kern w:val="0"/>
                <w:szCs w:val="21"/>
                <w:lang w:val="zh-CN"/>
              </w:rPr>
            </w:pPr>
            <w:r>
              <w:rPr>
                <w:rFonts w:hint="eastAsia"/>
                <w:bCs/>
                <w:kern w:val="0"/>
                <w:szCs w:val="21"/>
                <w:lang w:val="zh-CN"/>
              </w:rPr>
              <w:t>6</w:t>
            </w:r>
            <w:r>
              <w:rPr>
                <w:rFonts w:hint="eastAsia"/>
                <w:bCs/>
                <w:kern w:val="0"/>
                <w:szCs w:val="21"/>
              </w:rPr>
              <w:t>,</w:t>
            </w:r>
            <w:r>
              <w:rPr>
                <w:rFonts w:hint="eastAsia"/>
                <w:bCs/>
                <w:kern w:val="0"/>
                <w:szCs w:val="21"/>
                <w:lang w:val="zh-CN"/>
              </w:rPr>
              <w:t xml:space="preserve">967.47 </w:t>
            </w:r>
            <w:r>
              <w:rPr>
                <w:rFonts w:hint="eastAsia"/>
                <w:bCs/>
                <w:kern w:val="0"/>
                <w:szCs w:val="21"/>
              </w:rPr>
              <w:t xml:space="preserve"> </w:t>
            </w:r>
          </w:p>
        </w:tc>
        <w:tc>
          <w:tcPr>
            <w:tcW w:w="1090" w:type="pct"/>
            <w:tcBorders>
              <w:tl2br w:val="nil"/>
              <w:tr2bl w:val="nil"/>
            </w:tcBorders>
            <w:vAlign w:val="center"/>
          </w:tcPr>
          <w:p w14:paraId="6BD4D5CD">
            <w:pPr>
              <w:widowControl/>
              <w:adjustRightInd w:val="0"/>
              <w:snapToGrid w:val="0"/>
              <w:jc w:val="right"/>
              <w:rPr>
                <w:bCs/>
                <w:kern w:val="0"/>
                <w:szCs w:val="21"/>
                <w:lang w:val="zh-CN"/>
              </w:rPr>
            </w:pPr>
            <w:r>
              <w:rPr>
                <w:rFonts w:hint="eastAsia"/>
                <w:bCs/>
                <w:kern w:val="0"/>
                <w:szCs w:val="21"/>
              </w:rPr>
              <w:t>54.61%</w:t>
            </w:r>
          </w:p>
        </w:tc>
      </w:tr>
      <w:tr w14:paraId="3C294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7" w:type="pct"/>
            <w:tcBorders>
              <w:tl2br w:val="nil"/>
              <w:tr2bl w:val="nil"/>
            </w:tcBorders>
            <w:vAlign w:val="center"/>
          </w:tcPr>
          <w:p w14:paraId="43D15796">
            <w:pPr>
              <w:pStyle w:val="22"/>
              <w:spacing w:line="240" w:lineRule="auto"/>
              <w:ind w:firstLine="0" w:firstLineChars="0"/>
              <w:jc w:val="center"/>
              <w:rPr>
                <w:color w:val="000000"/>
                <w:kern w:val="0"/>
                <w:szCs w:val="21"/>
              </w:rPr>
            </w:pPr>
            <w:r>
              <w:rPr>
                <w:rFonts w:ascii="宋体" w:hAnsi="宋体"/>
                <w:bCs/>
                <w:sz w:val="21"/>
                <w:szCs w:val="21"/>
                <w:lang w:val="zh-CN"/>
              </w:rPr>
              <w:t>2</w:t>
            </w:r>
          </w:p>
        </w:tc>
        <w:tc>
          <w:tcPr>
            <w:tcW w:w="1394" w:type="pct"/>
            <w:tcBorders>
              <w:tl2br w:val="nil"/>
              <w:tr2bl w:val="nil"/>
            </w:tcBorders>
            <w:vAlign w:val="center"/>
          </w:tcPr>
          <w:p w14:paraId="24AD2055">
            <w:pPr>
              <w:pStyle w:val="22"/>
              <w:spacing w:line="240" w:lineRule="auto"/>
              <w:ind w:firstLine="0" w:firstLineChars="0"/>
              <w:jc w:val="center"/>
              <w:rPr>
                <w:color w:val="000000"/>
                <w:kern w:val="0"/>
                <w:szCs w:val="21"/>
              </w:rPr>
            </w:pPr>
            <w:r>
              <w:rPr>
                <w:rFonts w:hint="eastAsia" w:ascii="宋体" w:hAnsi="宋体"/>
                <w:bCs/>
                <w:sz w:val="21"/>
                <w:szCs w:val="21"/>
                <w:lang w:val="zh-CN"/>
              </w:rPr>
              <w:t>车载</w:t>
            </w:r>
            <w:r>
              <w:rPr>
                <w:rFonts w:ascii="宋体" w:hAnsi="宋体"/>
                <w:bCs/>
                <w:sz w:val="21"/>
                <w:szCs w:val="21"/>
                <w:lang w:val="zh-CN"/>
              </w:rPr>
              <w:t>BMS</w:t>
            </w:r>
            <w:r>
              <w:rPr>
                <w:rFonts w:hint="eastAsia" w:ascii="宋体" w:hAnsi="宋体"/>
                <w:bCs/>
                <w:sz w:val="21"/>
                <w:szCs w:val="21"/>
                <w:lang w:val="zh-CN"/>
              </w:rPr>
              <w:t>变压器产业化建设项目</w:t>
            </w:r>
          </w:p>
        </w:tc>
        <w:tc>
          <w:tcPr>
            <w:tcW w:w="1038" w:type="pct"/>
            <w:tcBorders>
              <w:tl2br w:val="nil"/>
              <w:tr2bl w:val="nil"/>
            </w:tcBorders>
            <w:vAlign w:val="center"/>
          </w:tcPr>
          <w:p w14:paraId="64D70A27">
            <w:pPr>
              <w:widowControl/>
              <w:adjustRightInd w:val="0"/>
              <w:snapToGrid w:val="0"/>
              <w:jc w:val="right"/>
              <w:rPr>
                <w:bCs/>
                <w:kern w:val="0"/>
                <w:szCs w:val="21"/>
                <w:lang w:val="zh-CN"/>
              </w:rPr>
            </w:pPr>
            <w:r>
              <w:rPr>
                <w:rFonts w:hint="eastAsia"/>
                <w:bCs/>
                <w:kern w:val="0"/>
                <w:szCs w:val="21"/>
                <w:lang w:val="zh-CN"/>
              </w:rPr>
              <w:t>4,500.00</w:t>
            </w:r>
          </w:p>
        </w:tc>
        <w:tc>
          <w:tcPr>
            <w:tcW w:w="1088" w:type="pct"/>
            <w:tcBorders>
              <w:tl2br w:val="nil"/>
              <w:tr2bl w:val="nil"/>
            </w:tcBorders>
            <w:vAlign w:val="center"/>
          </w:tcPr>
          <w:p w14:paraId="67094E3D">
            <w:pPr>
              <w:widowControl/>
              <w:adjustRightInd w:val="0"/>
              <w:snapToGrid w:val="0"/>
              <w:jc w:val="right"/>
              <w:rPr>
                <w:bCs/>
                <w:kern w:val="0"/>
                <w:szCs w:val="21"/>
                <w:lang w:val="zh-CN"/>
              </w:rPr>
            </w:pPr>
            <w:r>
              <w:rPr>
                <w:rFonts w:hint="eastAsia"/>
                <w:bCs/>
                <w:kern w:val="0"/>
                <w:szCs w:val="21"/>
                <w:lang w:val="zh-CN"/>
              </w:rPr>
              <w:t xml:space="preserve"> 861.39 </w:t>
            </w:r>
            <w:r>
              <w:rPr>
                <w:rFonts w:hint="eastAsia"/>
                <w:bCs/>
                <w:kern w:val="0"/>
                <w:szCs w:val="21"/>
              </w:rPr>
              <w:t xml:space="preserve"> </w:t>
            </w:r>
          </w:p>
        </w:tc>
        <w:tc>
          <w:tcPr>
            <w:tcW w:w="1090" w:type="pct"/>
            <w:tcBorders>
              <w:tl2br w:val="nil"/>
              <w:tr2bl w:val="nil"/>
            </w:tcBorders>
            <w:vAlign w:val="center"/>
          </w:tcPr>
          <w:p w14:paraId="55BAA5A5">
            <w:pPr>
              <w:widowControl/>
              <w:adjustRightInd w:val="0"/>
              <w:snapToGrid w:val="0"/>
              <w:jc w:val="right"/>
              <w:rPr>
                <w:bCs/>
                <w:kern w:val="0"/>
                <w:szCs w:val="21"/>
                <w:lang w:val="zh-CN"/>
              </w:rPr>
            </w:pPr>
            <w:r>
              <w:rPr>
                <w:rFonts w:hint="eastAsia"/>
                <w:bCs/>
                <w:kern w:val="0"/>
                <w:szCs w:val="21"/>
              </w:rPr>
              <w:t>19.14%</w:t>
            </w:r>
          </w:p>
        </w:tc>
      </w:tr>
      <w:tr w14:paraId="4C1AC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7" w:type="pct"/>
            <w:tcBorders>
              <w:tl2br w:val="nil"/>
              <w:tr2bl w:val="nil"/>
            </w:tcBorders>
            <w:vAlign w:val="center"/>
          </w:tcPr>
          <w:p w14:paraId="1A28E6E0">
            <w:pPr>
              <w:pStyle w:val="22"/>
              <w:spacing w:line="240" w:lineRule="auto"/>
              <w:ind w:firstLine="0" w:firstLineChars="0"/>
              <w:jc w:val="center"/>
              <w:rPr>
                <w:color w:val="000000"/>
                <w:kern w:val="0"/>
                <w:szCs w:val="21"/>
              </w:rPr>
            </w:pPr>
            <w:r>
              <w:rPr>
                <w:rFonts w:ascii="宋体" w:hAnsi="宋体"/>
                <w:bCs/>
                <w:sz w:val="21"/>
                <w:szCs w:val="21"/>
                <w:lang w:val="zh-CN"/>
              </w:rPr>
              <w:t>3</w:t>
            </w:r>
          </w:p>
        </w:tc>
        <w:tc>
          <w:tcPr>
            <w:tcW w:w="1394" w:type="pct"/>
            <w:tcBorders>
              <w:tl2br w:val="nil"/>
              <w:tr2bl w:val="nil"/>
            </w:tcBorders>
            <w:vAlign w:val="center"/>
          </w:tcPr>
          <w:p w14:paraId="32FDD0A7">
            <w:pPr>
              <w:pStyle w:val="22"/>
              <w:spacing w:line="240" w:lineRule="auto"/>
              <w:ind w:firstLine="0" w:firstLineChars="0"/>
              <w:jc w:val="center"/>
              <w:rPr>
                <w:color w:val="000000"/>
                <w:kern w:val="0"/>
                <w:szCs w:val="21"/>
              </w:rPr>
            </w:pPr>
            <w:r>
              <w:rPr>
                <w:rFonts w:hint="eastAsia" w:ascii="宋体" w:hAnsi="宋体"/>
                <w:bCs/>
                <w:sz w:val="21"/>
                <w:szCs w:val="21"/>
                <w:lang w:val="zh-CN"/>
              </w:rPr>
              <w:t>安全智能光储系统智能制造项目</w:t>
            </w:r>
          </w:p>
        </w:tc>
        <w:tc>
          <w:tcPr>
            <w:tcW w:w="1038" w:type="pct"/>
            <w:tcBorders>
              <w:tl2br w:val="nil"/>
              <w:tr2bl w:val="nil"/>
            </w:tcBorders>
            <w:vAlign w:val="center"/>
          </w:tcPr>
          <w:p w14:paraId="1B784C21">
            <w:pPr>
              <w:widowControl/>
              <w:adjustRightInd w:val="0"/>
              <w:snapToGrid w:val="0"/>
              <w:jc w:val="right"/>
              <w:rPr>
                <w:bCs/>
                <w:kern w:val="0"/>
                <w:szCs w:val="21"/>
                <w:lang w:val="zh-CN"/>
              </w:rPr>
            </w:pPr>
            <w:r>
              <w:rPr>
                <w:rFonts w:hint="eastAsia"/>
                <w:bCs/>
                <w:kern w:val="0"/>
                <w:szCs w:val="21"/>
              </w:rPr>
              <w:t>132</w:t>
            </w:r>
            <w:r>
              <w:rPr>
                <w:rFonts w:hint="eastAsia"/>
                <w:bCs/>
                <w:kern w:val="0"/>
                <w:szCs w:val="21"/>
                <w:lang w:val="zh-CN"/>
              </w:rPr>
              <w:t>.</w:t>
            </w:r>
            <w:r>
              <w:rPr>
                <w:rFonts w:hint="eastAsia"/>
                <w:bCs/>
                <w:kern w:val="0"/>
                <w:szCs w:val="21"/>
              </w:rPr>
              <w:t>34</w:t>
            </w:r>
          </w:p>
        </w:tc>
        <w:tc>
          <w:tcPr>
            <w:tcW w:w="1088" w:type="pct"/>
            <w:tcBorders>
              <w:tl2br w:val="nil"/>
              <w:tr2bl w:val="nil"/>
            </w:tcBorders>
            <w:vAlign w:val="center"/>
          </w:tcPr>
          <w:p w14:paraId="5DAF8701">
            <w:pPr>
              <w:widowControl/>
              <w:adjustRightInd w:val="0"/>
              <w:snapToGrid w:val="0"/>
              <w:jc w:val="right"/>
              <w:rPr>
                <w:bCs/>
                <w:kern w:val="0"/>
                <w:szCs w:val="21"/>
                <w:lang w:val="zh-CN"/>
              </w:rPr>
            </w:pPr>
            <w:r>
              <w:rPr>
                <w:rFonts w:hint="eastAsia"/>
                <w:bCs/>
                <w:kern w:val="0"/>
                <w:szCs w:val="21"/>
              </w:rPr>
              <w:t>132</w:t>
            </w:r>
            <w:r>
              <w:rPr>
                <w:rFonts w:hint="eastAsia"/>
                <w:bCs/>
                <w:kern w:val="0"/>
                <w:szCs w:val="21"/>
                <w:lang w:val="zh-CN"/>
              </w:rPr>
              <w:t>.</w:t>
            </w:r>
            <w:r>
              <w:rPr>
                <w:rFonts w:hint="eastAsia"/>
                <w:bCs/>
                <w:kern w:val="0"/>
                <w:szCs w:val="21"/>
              </w:rPr>
              <w:t>34</w:t>
            </w:r>
          </w:p>
        </w:tc>
        <w:tc>
          <w:tcPr>
            <w:tcW w:w="1090" w:type="pct"/>
            <w:tcBorders>
              <w:tl2br w:val="nil"/>
              <w:tr2bl w:val="nil"/>
            </w:tcBorders>
            <w:vAlign w:val="center"/>
          </w:tcPr>
          <w:p w14:paraId="76588C50">
            <w:pPr>
              <w:widowControl/>
              <w:adjustRightInd w:val="0"/>
              <w:snapToGrid w:val="0"/>
              <w:jc w:val="right"/>
              <w:rPr>
                <w:bCs/>
                <w:kern w:val="0"/>
                <w:szCs w:val="21"/>
                <w:lang w:val="zh-CN"/>
              </w:rPr>
            </w:pPr>
            <w:r>
              <w:rPr>
                <w:rFonts w:hint="eastAsia"/>
                <w:bCs/>
                <w:kern w:val="0"/>
                <w:szCs w:val="21"/>
              </w:rPr>
              <w:t>100.00%</w:t>
            </w:r>
          </w:p>
        </w:tc>
      </w:tr>
      <w:tr w14:paraId="41FE5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87" w:type="pct"/>
            <w:tcBorders>
              <w:tl2br w:val="nil"/>
              <w:tr2bl w:val="nil"/>
            </w:tcBorders>
            <w:vAlign w:val="center"/>
          </w:tcPr>
          <w:p w14:paraId="3BD044BF">
            <w:pPr>
              <w:pStyle w:val="22"/>
              <w:spacing w:line="240" w:lineRule="auto"/>
              <w:ind w:firstLine="0" w:firstLineChars="0"/>
              <w:jc w:val="center"/>
              <w:rPr>
                <w:color w:val="000000"/>
                <w:kern w:val="0"/>
                <w:szCs w:val="21"/>
              </w:rPr>
            </w:pPr>
            <w:r>
              <w:rPr>
                <w:rFonts w:hint="eastAsia" w:ascii="宋体" w:hAnsi="宋体"/>
                <w:bCs/>
                <w:sz w:val="21"/>
                <w:szCs w:val="21"/>
                <w:lang w:val="zh-CN"/>
              </w:rPr>
              <w:t>4</w:t>
            </w:r>
          </w:p>
        </w:tc>
        <w:tc>
          <w:tcPr>
            <w:tcW w:w="1394" w:type="pct"/>
            <w:tcBorders>
              <w:tl2br w:val="nil"/>
              <w:tr2bl w:val="nil"/>
            </w:tcBorders>
            <w:vAlign w:val="center"/>
          </w:tcPr>
          <w:p w14:paraId="69785FB3">
            <w:pPr>
              <w:pStyle w:val="22"/>
              <w:spacing w:line="240" w:lineRule="auto"/>
              <w:ind w:firstLine="0" w:firstLineChars="0"/>
              <w:jc w:val="center"/>
              <w:rPr>
                <w:color w:val="000000"/>
                <w:kern w:val="0"/>
                <w:szCs w:val="21"/>
              </w:rPr>
            </w:pPr>
            <w:r>
              <w:rPr>
                <w:rFonts w:hint="eastAsia" w:ascii="宋体" w:hAnsi="宋体"/>
                <w:bCs/>
                <w:sz w:val="21"/>
                <w:szCs w:val="21"/>
                <w:lang w:val="zh-CN"/>
              </w:rPr>
              <w:t>补充流动资金</w:t>
            </w:r>
          </w:p>
        </w:tc>
        <w:tc>
          <w:tcPr>
            <w:tcW w:w="1038" w:type="pct"/>
            <w:tcBorders>
              <w:tl2br w:val="nil"/>
              <w:tr2bl w:val="nil"/>
            </w:tcBorders>
            <w:vAlign w:val="center"/>
          </w:tcPr>
          <w:p w14:paraId="67680B22">
            <w:pPr>
              <w:widowControl/>
              <w:adjustRightInd w:val="0"/>
              <w:snapToGrid w:val="0"/>
              <w:jc w:val="right"/>
              <w:rPr>
                <w:bCs/>
                <w:kern w:val="0"/>
                <w:szCs w:val="21"/>
                <w:lang w:val="zh-CN"/>
              </w:rPr>
            </w:pPr>
            <w:r>
              <w:rPr>
                <w:rFonts w:hint="eastAsia"/>
                <w:bCs/>
                <w:kern w:val="0"/>
                <w:szCs w:val="21"/>
                <w:lang w:val="zh-CN"/>
              </w:rPr>
              <w:t>10,800.00</w:t>
            </w:r>
          </w:p>
        </w:tc>
        <w:tc>
          <w:tcPr>
            <w:tcW w:w="1088" w:type="pct"/>
            <w:tcBorders>
              <w:tl2br w:val="nil"/>
              <w:tr2bl w:val="nil"/>
            </w:tcBorders>
            <w:vAlign w:val="center"/>
          </w:tcPr>
          <w:p w14:paraId="795AEEB6">
            <w:pPr>
              <w:widowControl/>
              <w:adjustRightInd w:val="0"/>
              <w:snapToGrid w:val="0"/>
              <w:jc w:val="right"/>
              <w:rPr>
                <w:bCs/>
                <w:kern w:val="0"/>
                <w:szCs w:val="21"/>
                <w:lang w:val="zh-CN"/>
              </w:rPr>
            </w:pPr>
            <w:r>
              <w:rPr>
                <w:rFonts w:hint="eastAsia"/>
                <w:bCs/>
                <w:kern w:val="0"/>
                <w:szCs w:val="21"/>
                <w:lang w:val="zh-CN"/>
              </w:rPr>
              <w:t>10,80</w:t>
            </w:r>
            <w:r>
              <w:rPr>
                <w:rFonts w:hint="eastAsia"/>
                <w:bCs/>
                <w:kern w:val="0"/>
                <w:szCs w:val="21"/>
              </w:rPr>
              <w:t>6</w:t>
            </w:r>
            <w:r>
              <w:rPr>
                <w:rFonts w:hint="eastAsia"/>
                <w:bCs/>
                <w:kern w:val="0"/>
                <w:szCs w:val="21"/>
                <w:lang w:val="zh-CN"/>
              </w:rPr>
              <w:t>.</w:t>
            </w:r>
            <w:r>
              <w:rPr>
                <w:rFonts w:hint="eastAsia"/>
                <w:bCs/>
                <w:kern w:val="0"/>
                <w:szCs w:val="21"/>
              </w:rPr>
              <w:t>22</w:t>
            </w:r>
          </w:p>
        </w:tc>
        <w:tc>
          <w:tcPr>
            <w:tcW w:w="1090" w:type="pct"/>
            <w:tcBorders>
              <w:tl2br w:val="nil"/>
              <w:tr2bl w:val="nil"/>
            </w:tcBorders>
            <w:vAlign w:val="center"/>
          </w:tcPr>
          <w:p w14:paraId="44CBE6A7">
            <w:pPr>
              <w:widowControl/>
              <w:adjustRightInd w:val="0"/>
              <w:snapToGrid w:val="0"/>
              <w:jc w:val="right"/>
              <w:rPr>
                <w:bCs/>
                <w:kern w:val="0"/>
                <w:szCs w:val="21"/>
                <w:lang w:val="zh-CN"/>
              </w:rPr>
            </w:pPr>
            <w:r>
              <w:rPr>
                <w:rFonts w:hint="eastAsia"/>
                <w:bCs/>
                <w:kern w:val="0"/>
                <w:szCs w:val="21"/>
              </w:rPr>
              <w:t>100.06%</w:t>
            </w:r>
          </w:p>
        </w:tc>
      </w:tr>
      <w:tr w14:paraId="5389F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7" w:type="pct"/>
            <w:tcBorders>
              <w:tl2br w:val="nil"/>
              <w:tr2bl w:val="nil"/>
            </w:tcBorders>
            <w:vAlign w:val="center"/>
          </w:tcPr>
          <w:p w14:paraId="6BBB7D2D">
            <w:pPr>
              <w:pStyle w:val="22"/>
              <w:spacing w:line="240" w:lineRule="auto"/>
              <w:ind w:firstLine="0" w:firstLineChars="0"/>
              <w:jc w:val="center"/>
              <w:rPr>
                <w:color w:val="000000"/>
                <w:kern w:val="0"/>
                <w:szCs w:val="21"/>
              </w:rPr>
            </w:pPr>
            <w:r>
              <w:rPr>
                <w:rFonts w:hint="eastAsia" w:ascii="宋体" w:hAnsi="宋体"/>
                <w:bCs/>
                <w:sz w:val="21"/>
                <w:szCs w:val="21"/>
              </w:rPr>
              <w:t>5</w:t>
            </w:r>
          </w:p>
        </w:tc>
        <w:tc>
          <w:tcPr>
            <w:tcW w:w="1394" w:type="pct"/>
            <w:tcBorders>
              <w:tl2br w:val="nil"/>
              <w:tr2bl w:val="nil"/>
            </w:tcBorders>
            <w:vAlign w:val="center"/>
          </w:tcPr>
          <w:p w14:paraId="4F5A2C23">
            <w:pPr>
              <w:pStyle w:val="22"/>
              <w:spacing w:line="240" w:lineRule="auto"/>
              <w:ind w:firstLine="0" w:firstLineChars="0"/>
              <w:jc w:val="center"/>
              <w:rPr>
                <w:color w:val="000000"/>
                <w:kern w:val="0"/>
                <w:szCs w:val="21"/>
              </w:rPr>
            </w:pPr>
            <w:r>
              <w:rPr>
                <w:rFonts w:hint="eastAsia" w:ascii="宋体" w:hAnsi="宋体"/>
                <w:bCs/>
                <w:sz w:val="21"/>
                <w:szCs w:val="21"/>
                <w:lang w:val="zh-CN"/>
              </w:rPr>
              <w:t>光模块及光器件产品改建项目</w:t>
            </w:r>
          </w:p>
        </w:tc>
        <w:tc>
          <w:tcPr>
            <w:tcW w:w="1038" w:type="pct"/>
            <w:tcBorders>
              <w:tl2br w:val="nil"/>
              <w:tr2bl w:val="nil"/>
            </w:tcBorders>
            <w:vAlign w:val="center"/>
          </w:tcPr>
          <w:p w14:paraId="04F12E1B">
            <w:pPr>
              <w:widowControl/>
              <w:adjustRightInd w:val="0"/>
              <w:snapToGrid w:val="0"/>
              <w:jc w:val="right"/>
              <w:rPr>
                <w:bCs/>
                <w:kern w:val="0"/>
                <w:szCs w:val="21"/>
                <w:lang w:val="zh-CN"/>
              </w:rPr>
            </w:pPr>
            <w:r>
              <w:rPr>
                <w:rFonts w:hint="eastAsia"/>
                <w:bCs/>
                <w:kern w:val="0"/>
                <w:szCs w:val="21"/>
                <w:lang w:val="zh-CN"/>
              </w:rPr>
              <w:t>12,567.66</w:t>
            </w:r>
          </w:p>
        </w:tc>
        <w:tc>
          <w:tcPr>
            <w:tcW w:w="1088" w:type="pct"/>
            <w:tcBorders>
              <w:tl2br w:val="nil"/>
              <w:tr2bl w:val="nil"/>
            </w:tcBorders>
            <w:vAlign w:val="center"/>
          </w:tcPr>
          <w:p w14:paraId="4274E4C6">
            <w:pPr>
              <w:widowControl/>
              <w:adjustRightInd w:val="0"/>
              <w:snapToGrid w:val="0"/>
              <w:jc w:val="right"/>
              <w:rPr>
                <w:bCs/>
                <w:kern w:val="0"/>
                <w:szCs w:val="21"/>
                <w:lang w:val="zh-CN"/>
              </w:rPr>
            </w:pPr>
            <w:r>
              <w:rPr>
                <w:rFonts w:hint="eastAsia"/>
                <w:bCs/>
                <w:kern w:val="0"/>
                <w:szCs w:val="21"/>
              </w:rPr>
              <w:t>11.61</w:t>
            </w:r>
          </w:p>
        </w:tc>
        <w:tc>
          <w:tcPr>
            <w:tcW w:w="1090" w:type="pct"/>
            <w:tcBorders>
              <w:tl2br w:val="nil"/>
              <w:tr2bl w:val="nil"/>
            </w:tcBorders>
            <w:vAlign w:val="center"/>
          </w:tcPr>
          <w:p w14:paraId="59741C19">
            <w:pPr>
              <w:widowControl/>
              <w:adjustRightInd w:val="0"/>
              <w:snapToGrid w:val="0"/>
              <w:jc w:val="right"/>
              <w:rPr>
                <w:bCs/>
                <w:kern w:val="0"/>
                <w:szCs w:val="21"/>
                <w:lang w:val="zh-CN"/>
              </w:rPr>
            </w:pPr>
            <w:r>
              <w:rPr>
                <w:rFonts w:hint="eastAsia"/>
                <w:bCs/>
                <w:kern w:val="0"/>
                <w:szCs w:val="21"/>
              </w:rPr>
              <w:t>0.09%</w:t>
            </w:r>
          </w:p>
        </w:tc>
      </w:tr>
      <w:tr w14:paraId="6EA2F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82" w:type="pct"/>
            <w:gridSpan w:val="2"/>
            <w:tcBorders>
              <w:tl2br w:val="nil"/>
              <w:tr2bl w:val="nil"/>
            </w:tcBorders>
            <w:vAlign w:val="center"/>
          </w:tcPr>
          <w:p w14:paraId="735FDCB2">
            <w:pPr>
              <w:pStyle w:val="22"/>
              <w:spacing w:line="240" w:lineRule="auto"/>
              <w:ind w:firstLine="0" w:firstLineChars="0"/>
              <w:jc w:val="center"/>
              <w:rPr>
                <w:rFonts w:hint="eastAsia" w:ascii="宋体" w:hAnsi="宋体"/>
                <w:b/>
                <w:sz w:val="21"/>
                <w:szCs w:val="21"/>
              </w:rPr>
            </w:pPr>
            <w:r>
              <w:rPr>
                <w:rFonts w:hint="eastAsia" w:ascii="宋体" w:hAnsi="宋体"/>
                <w:b/>
                <w:sz w:val="21"/>
                <w:szCs w:val="21"/>
              </w:rPr>
              <w:t>合计</w:t>
            </w:r>
          </w:p>
        </w:tc>
        <w:tc>
          <w:tcPr>
            <w:tcW w:w="1038" w:type="pct"/>
            <w:tcBorders>
              <w:tl2br w:val="nil"/>
              <w:tr2bl w:val="nil"/>
            </w:tcBorders>
            <w:vAlign w:val="center"/>
          </w:tcPr>
          <w:p w14:paraId="5CF4203B">
            <w:pPr>
              <w:widowControl/>
              <w:adjustRightInd w:val="0"/>
              <w:snapToGrid w:val="0"/>
              <w:jc w:val="right"/>
              <w:rPr>
                <w:b/>
                <w:kern w:val="0"/>
                <w:szCs w:val="21"/>
                <w:lang w:val="zh-CN"/>
              </w:rPr>
            </w:pPr>
            <w:r>
              <w:rPr>
                <w:rFonts w:hint="eastAsia"/>
                <w:b/>
                <w:kern w:val="0"/>
                <w:szCs w:val="21"/>
                <w:lang w:val="zh-CN"/>
              </w:rPr>
              <w:t>40,759.47</w:t>
            </w:r>
          </w:p>
        </w:tc>
        <w:tc>
          <w:tcPr>
            <w:tcW w:w="1088" w:type="pct"/>
            <w:tcBorders>
              <w:tl2br w:val="nil"/>
              <w:tr2bl w:val="nil"/>
            </w:tcBorders>
            <w:vAlign w:val="center"/>
          </w:tcPr>
          <w:p w14:paraId="3261CDBE">
            <w:pPr>
              <w:widowControl/>
              <w:adjustRightInd w:val="0"/>
              <w:snapToGrid w:val="0"/>
              <w:jc w:val="right"/>
              <w:rPr>
                <w:b/>
                <w:kern w:val="0"/>
                <w:szCs w:val="21"/>
                <w:lang w:val="zh-CN"/>
              </w:rPr>
            </w:pPr>
            <w:r>
              <w:rPr>
                <w:rFonts w:hint="eastAsia"/>
                <w:b/>
                <w:kern w:val="0"/>
                <w:szCs w:val="21"/>
                <w:lang w:val="zh-CN"/>
              </w:rPr>
              <w:t xml:space="preserve"> 18,779.0</w:t>
            </w:r>
            <w:r>
              <w:rPr>
                <w:rFonts w:hint="eastAsia"/>
                <w:b/>
                <w:kern w:val="0"/>
                <w:szCs w:val="21"/>
              </w:rPr>
              <w:t>3</w:t>
            </w:r>
            <w:r>
              <w:rPr>
                <w:rFonts w:hint="eastAsia"/>
                <w:b/>
                <w:kern w:val="0"/>
                <w:szCs w:val="21"/>
                <w:lang w:val="zh-CN"/>
              </w:rPr>
              <w:t xml:space="preserve"> </w:t>
            </w:r>
          </w:p>
        </w:tc>
        <w:tc>
          <w:tcPr>
            <w:tcW w:w="1090" w:type="pct"/>
            <w:tcBorders>
              <w:tl2br w:val="nil"/>
              <w:tr2bl w:val="nil"/>
            </w:tcBorders>
          </w:tcPr>
          <w:p w14:paraId="2621796A">
            <w:pPr>
              <w:widowControl/>
              <w:spacing w:line="480" w:lineRule="auto"/>
              <w:jc w:val="right"/>
            </w:pPr>
          </w:p>
        </w:tc>
      </w:tr>
    </w:tbl>
    <w:p w14:paraId="2C1CACA3">
      <w:pPr>
        <w:spacing w:line="360" w:lineRule="auto"/>
        <w:ind w:firstLine="482" w:firstLineChars="200"/>
        <w:rPr>
          <w:b/>
          <w:sz w:val="24"/>
          <w:szCs w:val="24"/>
        </w:rPr>
      </w:pPr>
      <w:r>
        <w:rPr>
          <w:rFonts w:hint="eastAsia"/>
          <w:b/>
          <w:sz w:val="24"/>
          <w:szCs w:val="24"/>
        </w:rPr>
        <w:t>三、本次使用暂时</w:t>
      </w:r>
      <w:r>
        <w:rPr>
          <w:b/>
          <w:sz w:val="24"/>
          <w:szCs w:val="24"/>
        </w:rPr>
        <w:t>闲置募集资金进行现金管理的情况</w:t>
      </w:r>
    </w:p>
    <w:p w14:paraId="24D268ED">
      <w:pPr>
        <w:spacing w:line="360" w:lineRule="auto"/>
        <w:ind w:firstLine="480" w:firstLineChars="200"/>
        <w:rPr>
          <w:bCs/>
          <w:sz w:val="24"/>
          <w:szCs w:val="24"/>
        </w:rPr>
      </w:pPr>
      <w:r>
        <w:rPr>
          <w:rFonts w:hint="eastAsia"/>
          <w:bCs/>
          <w:sz w:val="24"/>
          <w:szCs w:val="24"/>
        </w:rPr>
        <w:t>（一）募集资金闲置原因</w:t>
      </w:r>
    </w:p>
    <w:p w14:paraId="72D86C45">
      <w:pPr>
        <w:spacing w:line="360" w:lineRule="auto"/>
        <w:ind w:firstLine="480" w:firstLineChars="200"/>
        <w:rPr>
          <w:rFonts w:hint="eastAsia" w:ascii="宋体" w:hAnsi="宋体"/>
          <w:sz w:val="24"/>
          <w:szCs w:val="24"/>
        </w:rPr>
      </w:pPr>
      <w:r>
        <w:rPr>
          <w:rFonts w:hint="eastAsia" w:ascii="宋体" w:hAnsi="宋体"/>
          <w:sz w:val="24"/>
          <w:szCs w:val="24"/>
        </w:rPr>
        <w:t>由于募集资金投资项目建设需要一定周期，根据募集资金投资项目建设进度，现阶段募集资金在短期内出现部分闲置的情况。</w:t>
      </w:r>
    </w:p>
    <w:p w14:paraId="78911715">
      <w:pPr>
        <w:numPr>
          <w:ilvl w:val="0"/>
          <w:numId w:val="1"/>
        </w:numPr>
        <w:spacing w:line="360" w:lineRule="auto"/>
        <w:ind w:firstLine="480" w:firstLineChars="200"/>
        <w:rPr>
          <w:rFonts w:hint="eastAsia" w:ascii="宋体" w:hAnsi="宋体"/>
          <w:sz w:val="24"/>
          <w:szCs w:val="24"/>
        </w:rPr>
      </w:pPr>
      <w:r>
        <w:rPr>
          <w:rFonts w:hint="eastAsia" w:ascii="宋体" w:hAnsi="宋体"/>
          <w:sz w:val="24"/>
          <w:szCs w:val="24"/>
        </w:rPr>
        <w:t>投资目的</w:t>
      </w:r>
    </w:p>
    <w:p w14:paraId="1A163EA2">
      <w:pPr>
        <w:spacing w:line="360" w:lineRule="auto"/>
        <w:ind w:firstLine="480" w:firstLineChars="200"/>
        <w:rPr>
          <w:rFonts w:hint="eastAsia" w:ascii="宋体" w:hAnsi="宋体"/>
          <w:sz w:val="24"/>
          <w:szCs w:val="24"/>
        </w:rPr>
      </w:pPr>
      <w:r>
        <w:rPr>
          <w:rFonts w:hint="eastAsia" w:ascii="宋体" w:hAnsi="宋体"/>
          <w:sz w:val="24"/>
          <w:szCs w:val="24"/>
        </w:rPr>
        <w:t>为提高募集资金使用效益，在确保不影响募集资金投资项目建设和募集资金使用，并有效控制风险的前提下，公司拟使用暂时闲置的募集资金进行现金管理，以增加公司收益，维护股东利益。</w:t>
      </w:r>
    </w:p>
    <w:p w14:paraId="5823ED63">
      <w:pPr>
        <w:spacing w:line="360" w:lineRule="auto"/>
        <w:ind w:firstLine="480" w:firstLineChars="200"/>
        <w:rPr>
          <w:rFonts w:hint="eastAsia" w:ascii="宋体" w:hAnsi="宋体"/>
          <w:sz w:val="24"/>
          <w:szCs w:val="24"/>
        </w:rPr>
      </w:pPr>
      <w:r>
        <w:rPr>
          <w:rFonts w:hint="eastAsia" w:ascii="宋体" w:hAnsi="宋体"/>
          <w:sz w:val="24"/>
          <w:szCs w:val="24"/>
        </w:rPr>
        <w:t>（三）现金管理的投资产品品种</w:t>
      </w:r>
    </w:p>
    <w:p w14:paraId="39E710C6">
      <w:pPr>
        <w:spacing w:line="360" w:lineRule="auto"/>
        <w:ind w:firstLine="480" w:firstLineChars="200"/>
        <w:rPr>
          <w:rFonts w:hint="eastAsia" w:ascii="宋体" w:hAnsi="宋体"/>
          <w:sz w:val="24"/>
        </w:rPr>
      </w:pPr>
      <w:r>
        <w:rPr>
          <w:rFonts w:hint="eastAsia" w:ascii="宋体" w:hAnsi="宋体"/>
          <w:sz w:val="24"/>
        </w:rPr>
        <w:t>公司拟投资安全性高、流动性好、短期（不超过1</w:t>
      </w:r>
      <w:r>
        <w:rPr>
          <w:rFonts w:ascii="宋体" w:hAnsi="宋体"/>
          <w:sz w:val="24"/>
        </w:rPr>
        <w:t>2</w:t>
      </w:r>
      <w:r>
        <w:rPr>
          <w:rFonts w:hint="eastAsia" w:ascii="宋体" w:hAnsi="宋体"/>
          <w:sz w:val="24"/>
        </w:rPr>
        <w:t>个月），包括但不限于定期存款、结构</w:t>
      </w:r>
      <w:r>
        <w:rPr>
          <w:rFonts w:hint="eastAsia" w:ascii="宋体" w:hAnsi="宋体"/>
          <w:sz w:val="24"/>
          <w:lang w:val="en-US" w:eastAsia="zh-CN"/>
        </w:rPr>
        <w:t>性</w:t>
      </w:r>
      <w:r>
        <w:rPr>
          <w:rFonts w:hint="eastAsia" w:ascii="宋体" w:hAnsi="宋体"/>
          <w:sz w:val="24"/>
        </w:rPr>
        <w:t>存款、银行理财产品、券商收益凭证等理财</w:t>
      </w:r>
      <w:r>
        <w:rPr>
          <w:rFonts w:ascii="宋体" w:hAnsi="宋体"/>
          <w:sz w:val="24"/>
        </w:rPr>
        <w:t>产品</w:t>
      </w:r>
      <w:r>
        <w:rPr>
          <w:rFonts w:hint="eastAsia" w:ascii="宋体" w:hAnsi="宋体"/>
          <w:sz w:val="24"/>
        </w:rPr>
        <w:t>，暂时闲置募集资金拟投资的产品须符合以下条件：期限不得超过十二个月，且必须安全性高、流动性好，不得影响募集资金投资计划正常进行。上述</w:t>
      </w:r>
      <w:r>
        <w:rPr>
          <w:rFonts w:hint="eastAsia" w:ascii="宋体" w:hAnsi="宋体" w:cs="宋体"/>
          <w:kern w:val="0"/>
          <w:sz w:val="24"/>
        </w:rPr>
        <w:t>投资产品不得质押，产品专用结算账户不得存放非募集资金或者用作其他用途，开立或者注销产品专用结算账户的，公司应当及时公告。</w:t>
      </w:r>
    </w:p>
    <w:p w14:paraId="3A0AB394">
      <w:pPr>
        <w:spacing w:line="360" w:lineRule="auto"/>
        <w:ind w:firstLine="480" w:firstLineChars="200"/>
        <w:rPr>
          <w:rFonts w:hint="eastAsia" w:ascii="宋体" w:hAnsi="宋体"/>
          <w:sz w:val="24"/>
          <w:szCs w:val="24"/>
        </w:rPr>
      </w:pPr>
      <w:r>
        <w:rPr>
          <w:rFonts w:hint="eastAsia" w:ascii="宋体" w:hAnsi="宋体"/>
          <w:sz w:val="24"/>
          <w:szCs w:val="24"/>
        </w:rPr>
        <w:t>（四）现金管理额度</w:t>
      </w:r>
    </w:p>
    <w:p w14:paraId="791D7EC1">
      <w:pPr>
        <w:spacing w:line="360" w:lineRule="auto"/>
        <w:ind w:firstLine="480" w:firstLineChars="200"/>
        <w:rPr>
          <w:rFonts w:hint="eastAsia" w:ascii="宋体" w:hAnsi="宋体"/>
          <w:sz w:val="24"/>
        </w:rPr>
      </w:pPr>
      <w:r>
        <w:rPr>
          <w:rFonts w:hint="eastAsia" w:ascii="宋体" w:hAnsi="宋体"/>
          <w:sz w:val="24"/>
        </w:rPr>
        <w:t>公司</w:t>
      </w:r>
      <w:r>
        <w:rPr>
          <w:rFonts w:hint="eastAsia"/>
          <w:sz w:val="24"/>
        </w:rPr>
        <w:t>（含子公司）</w:t>
      </w:r>
      <w:r>
        <w:rPr>
          <w:rFonts w:hint="eastAsia" w:ascii="宋体" w:hAnsi="宋体"/>
          <w:sz w:val="24"/>
        </w:rPr>
        <w:t>拟使用额度不超过人民币19,000万元暂时闲置募集资金进行现金管理，使用期限不超过</w:t>
      </w:r>
      <w:r>
        <w:rPr>
          <w:rFonts w:ascii="宋体" w:hAnsi="宋体"/>
          <w:sz w:val="24"/>
        </w:rPr>
        <w:t>12</w:t>
      </w:r>
      <w:r>
        <w:rPr>
          <w:rFonts w:hint="eastAsia" w:ascii="宋体" w:hAnsi="宋体"/>
          <w:sz w:val="24"/>
        </w:rPr>
        <w:t>个月。在上述额度及决议有效期内，可循环使用。暂时闲置募集资金现金管理到期后将及时归还至募集资金专户。</w:t>
      </w:r>
    </w:p>
    <w:p w14:paraId="7DACA08E">
      <w:pPr>
        <w:spacing w:line="360" w:lineRule="auto"/>
        <w:ind w:firstLine="480" w:firstLineChars="200"/>
        <w:rPr>
          <w:rFonts w:hint="eastAsia" w:ascii="宋体" w:hAnsi="宋体"/>
          <w:sz w:val="24"/>
          <w:szCs w:val="24"/>
        </w:rPr>
      </w:pPr>
      <w:r>
        <w:rPr>
          <w:rFonts w:hint="eastAsia" w:ascii="宋体" w:hAnsi="宋体"/>
          <w:sz w:val="24"/>
          <w:szCs w:val="24"/>
        </w:rPr>
        <w:t>（五）决议有效期</w:t>
      </w:r>
    </w:p>
    <w:p w14:paraId="3CD2DA63">
      <w:pPr>
        <w:spacing w:line="360" w:lineRule="auto"/>
        <w:ind w:firstLine="480" w:firstLineChars="200"/>
        <w:rPr>
          <w:rFonts w:hint="eastAsia" w:ascii="宋体" w:hAnsi="宋体"/>
          <w:sz w:val="24"/>
          <w:szCs w:val="24"/>
        </w:rPr>
      </w:pPr>
      <w:r>
        <w:rPr>
          <w:rFonts w:hint="eastAsia" w:ascii="宋体" w:hAnsi="宋体"/>
          <w:sz w:val="24"/>
          <w:szCs w:val="24"/>
        </w:rPr>
        <w:t>本次公司使用暂时闲置募集资金进行现金管理的实施期限自本次董事会审议通过之日起的</w:t>
      </w:r>
      <w:r>
        <w:rPr>
          <w:rFonts w:ascii="宋体" w:hAnsi="宋体"/>
          <w:sz w:val="24"/>
          <w:szCs w:val="24"/>
        </w:rPr>
        <w:t>12</w:t>
      </w:r>
      <w:r>
        <w:rPr>
          <w:rFonts w:hint="eastAsia" w:ascii="宋体" w:hAnsi="宋体"/>
          <w:sz w:val="24"/>
          <w:szCs w:val="24"/>
        </w:rPr>
        <w:t>个月内有效。</w:t>
      </w:r>
    </w:p>
    <w:p w14:paraId="2C7E6495">
      <w:pPr>
        <w:spacing w:line="360" w:lineRule="auto"/>
        <w:ind w:firstLine="480" w:firstLineChars="200"/>
        <w:rPr>
          <w:rFonts w:hint="eastAsia" w:ascii="宋体" w:hAnsi="宋体"/>
          <w:sz w:val="24"/>
          <w:szCs w:val="24"/>
        </w:rPr>
      </w:pPr>
      <w:r>
        <w:rPr>
          <w:rFonts w:hint="eastAsia" w:ascii="宋体" w:hAnsi="宋体"/>
          <w:sz w:val="24"/>
          <w:szCs w:val="24"/>
        </w:rPr>
        <w:t>（六）具体实施方式</w:t>
      </w:r>
    </w:p>
    <w:p w14:paraId="434321BB">
      <w:pPr>
        <w:spacing w:line="360" w:lineRule="auto"/>
        <w:ind w:firstLine="480" w:firstLineChars="200"/>
        <w:rPr>
          <w:rFonts w:hint="eastAsia" w:ascii="宋体" w:hAnsi="宋体"/>
          <w:sz w:val="24"/>
          <w:szCs w:val="24"/>
        </w:rPr>
      </w:pPr>
      <w:r>
        <w:rPr>
          <w:rFonts w:hint="eastAsia" w:ascii="宋体" w:hAnsi="宋体"/>
          <w:sz w:val="24"/>
          <w:szCs w:val="24"/>
        </w:rPr>
        <w:t>上述事项经董事会审议通过后，公司授权经营管理层在额度</w:t>
      </w:r>
      <w:bookmarkStart w:id="0" w:name="_GoBack"/>
      <w:bookmarkEnd w:id="0"/>
      <w:r>
        <w:rPr>
          <w:rFonts w:hint="eastAsia" w:ascii="宋体" w:hAnsi="宋体"/>
          <w:sz w:val="24"/>
          <w:szCs w:val="24"/>
        </w:rPr>
        <w:t>范围内行使投资决策权并签署相关法律文件，包括但不限于选择合格的理财产品发行主体、明确理财金额、选择理财产品品种、签署合同等，同时授权公司财务负责人具体实施相关事宜。</w:t>
      </w:r>
    </w:p>
    <w:p w14:paraId="38CFA451">
      <w:pPr>
        <w:spacing w:line="360" w:lineRule="auto"/>
        <w:ind w:firstLine="480" w:firstLineChars="200"/>
        <w:rPr>
          <w:rFonts w:hint="eastAsia" w:ascii="宋体" w:hAnsi="宋体"/>
          <w:sz w:val="24"/>
          <w:szCs w:val="24"/>
        </w:rPr>
      </w:pPr>
      <w:r>
        <w:rPr>
          <w:rFonts w:hint="eastAsia" w:ascii="宋体" w:hAnsi="宋体"/>
          <w:sz w:val="24"/>
          <w:szCs w:val="24"/>
        </w:rPr>
        <w:t>（七）信息披露方面</w:t>
      </w:r>
    </w:p>
    <w:p w14:paraId="04824FC8">
      <w:pPr>
        <w:spacing w:line="360" w:lineRule="auto"/>
        <w:ind w:firstLine="470" w:firstLineChars="196"/>
        <w:rPr>
          <w:rFonts w:hint="eastAsia" w:ascii="宋体" w:hAnsi="宋体"/>
          <w:sz w:val="24"/>
          <w:szCs w:val="24"/>
        </w:rPr>
      </w:pPr>
      <w:r>
        <w:rPr>
          <w:rFonts w:hint="eastAsia" w:ascii="宋体" w:hAnsi="宋体"/>
          <w:sz w:val="24"/>
          <w:szCs w:val="24"/>
        </w:rPr>
        <w:t>公司将按照《深圳证券交易所股票上市规则》《深圳证券交易所上市公司自律监管指引第1号—主板上市公司规范运作》等相关要求及时履行信息披露义务。</w:t>
      </w:r>
    </w:p>
    <w:p w14:paraId="0C6F7F1D">
      <w:pPr>
        <w:spacing w:line="360" w:lineRule="auto"/>
        <w:ind w:firstLine="470" w:firstLineChars="196"/>
        <w:rPr>
          <w:rFonts w:hint="eastAsia" w:ascii="宋体" w:hAnsi="宋体"/>
          <w:sz w:val="24"/>
          <w:szCs w:val="24"/>
        </w:rPr>
      </w:pPr>
    </w:p>
    <w:p w14:paraId="4F8C284F">
      <w:pPr>
        <w:spacing w:line="360" w:lineRule="auto"/>
        <w:ind w:firstLine="482" w:firstLineChars="200"/>
        <w:rPr>
          <w:b/>
          <w:sz w:val="24"/>
          <w:szCs w:val="24"/>
        </w:rPr>
      </w:pPr>
      <w:r>
        <w:rPr>
          <w:rFonts w:hint="eastAsia"/>
          <w:b/>
          <w:sz w:val="24"/>
          <w:szCs w:val="24"/>
        </w:rPr>
        <w:t>四、投资风险及风险控制措施</w:t>
      </w:r>
    </w:p>
    <w:p w14:paraId="2FD9D652">
      <w:pPr>
        <w:spacing w:line="360" w:lineRule="auto"/>
        <w:ind w:firstLine="480" w:firstLineChars="200"/>
        <w:rPr>
          <w:rFonts w:hint="eastAsia" w:ascii="宋体" w:hAnsi="宋体"/>
          <w:sz w:val="24"/>
          <w:szCs w:val="24"/>
        </w:rPr>
      </w:pPr>
      <w:r>
        <w:rPr>
          <w:rFonts w:hint="eastAsia" w:ascii="宋体" w:hAnsi="宋体"/>
          <w:sz w:val="24"/>
          <w:szCs w:val="24"/>
        </w:rPr>
        <w:t>（一）投资风险</w:t>
      </w:r>
    </w:p>
    <w:p w14:paraId="75E5EC39">
      <w:pPr>
        <w:adjustRightInd w:val="0"/>
        <w:snapToGrid w:val="0"/>
        <w:spacing w:line="360" w:lineRule="auto"/>
        <w:ind w:firstLine="480" w:firstLineChars="200"/>
        <w:contextualSpacing/>
        <w:rPr>
          <w:rFonts w:hint="eastAsia" w:ascii="宋体" w:hAnsi="宋体"/>
          <w:sz w:val="24"/>
        </w:rPr>
      </w:pPr>
      <w:r>
        <w:rPr>
          <w:rFonts w:hint="eastAsia" w:ascii="宋体" w:hAnsi="宋体"/>
          <w:sz w:val="24"/>
        </w:rPr>
        <w:t>尽管拟投资产品属于低风险投资品种，但金融市场受宏观经济的影响较大，公司将根据经济形势以及金融市场的变化适时适量地介入，但不排除投资受到市场波动的影响。</w:t>
      </w:r>
    </w:p>
    <w:p w14:paraId="5C3CC0C6">
      <w:pPr>
        <w:spacing w:line="360" w:lineRule="auto"/>
        <w:ind w:firstLine="480" w:firstLineChars="200"/>
        <w:rPr>
          <w:rFonts w:hint="eastAsia" w:ascii="宋体" w:hAnsi="宋体"/>
          <w:sz w:val="24"/>
          <w:szCs w:val="24"/>
        </w:rPr>
      </w:pPr>
      <w:r>
        <w:rPr>
          <w:rFonts w:hint="eastAsia" w:ascii="宋体" w:hAnsi="宋体"/>
          <w:sz w:val="24"/>
          <w:szCs w:val="24"/>
        </w:rPr>
        <w:t>（二）风险控制措施</w:t>
      </w:r>
    </w:p>
    <w:p w14:paraId="1CCF7CB5">
      <w:pPr>
        <w:adjustRightInd w:val="0"/>
        <w:snapToGrid w:val="0"/>
        <w:spacing w:line="360" w:lineRule="auto"/>
        <w:ind w:firstLine="480" w:firstLineChars="200"/>
        <w:contextualSpacing/>
        <w:rPr>
          <w:rFonts w:hint="eastAsia" w:ascii="宋体" w:hAnsi="宋体"/>
          <w:sz w:val="24"/>
        </w:rPr>
      </w:pPr>
      <w:r>
        <w:rPr>
          <w:rFonts w:hint="eastAsia" w:ascii="宋体" w:hAnsi="宋体"/>
          <w:sz w:val="24"/>
        </w:rPr>
        <w:t>（1）公司将严格遵守审慎投资原则，选择信誉良好、风控措施严密、有能力保障资金安全的机构所发行的产品；</w:t>
      </w:r>
    </w:p>
    <w:p w14:paraId="3501157F">
      <w:pPr>
        <w:adjustRightInd w:val="0"/>
        <w:snapToGrid w:val="0"/>
        <w:spacing w:line="360" w:lineRule="auto"/>
        <w:ind w:firstLine="480" w:firstLineChars="200"/>
        <w:contextualSpacing/>
        <w:rPr>
          <w:rFonts w:hint="eastAsia" w:ascii="宋体" w:hAnsi="宋体"/>
          <w:sz w:val="24"/>
        </w:rPr>
      </w:pPr>
      <w:r>
        <w:rPr>
          <w:rFonts w:hint="eastAsia" w:ascii="宋体" w:hAnsi="宋体"/>
          <w:sz w:val="24"/>
        </w:rPr>
        <w:t>（2）公司将及时分析和跟踪投资产品投向、项目进展情况，如评估发现存在可能影响资金安全的风险因素，将及时采取相应措施，控制投资风险；</w:t>
      </w:r>
    </w:p>
    <w:p w14:paraId="512F251F">
      <w:pPr>
        <w:adjustRightInd w:val="0"/>
        <w:snapToGrid w:val="0"/>
        <w:spacing w:before="100" w:beforeAutospacing="1" w:after="100" w:afterAutospacing="1" w:line="360" w:lineRule="auto"/>
        <w:ind w:firstLine="480" w:firstLineChars="200"/>
        <w:contextualSpacing/>
        <w:rPr>
          <w:rFonts w:hint="eastAsia" w:ascii="宋体" w:hAnsi="宋体"/>
          <w:sz w:val="24"/>
        </w:rPr>
      </w:pPr>
      <w:r>
        <w:rPr>
          <w:rFonts w:hint="eastAsia" w:ascii="宋体" w:hAnsi="宋体"/>
          <w:sz w:val="24"/>
        </w:rPr>
        <w:t>（3）独立董事、监事会有权对资金使用情况进行监督与检查，必要时可以聘请专业机构进行审计；</w:t>
      </w:r>
    </w:p>
    <w:p w14:paraId="03022A24">
      <w:pPr>
        <w:adjustRightInd w:val="0"/>
        <w:snapToGrid w:val="0"/>
        <w:spacing w:before="100" w:beforeAutospacing="1" w:after="100" w:afterAutospacing="1" w:line="360" w:lineRule="auto"/>
        <w:ind w:firstLine="480" w:firstLineChars="200"/>
        <w:contextualSpacing/>
        <w:rPr>
          <w:sz w:val="24"/>
        </w:rPr>
      </w:pPr>
      <w:r>
        <w:rPr>
          <w:rFonts w:hint="eastAsia" w:ascii="宋体" w:hAnsi="宋体"/>
          <w:sz w:val="24"/>
        </w:rPr>
        <w:t>（4）公司将根据深圳证券交易所的有关规定，及时履行披露义务。</w:t>
      </w:r>
    </w:p>
    <w:p w14:paraId="78F93491">
      <w:pPr>
        <w:spacing w:line="360" w:lineRule="auto"/>
        <w:ind w:firstLine="480" w:firstLineChars="200"/>
        <w:rPr>
          <w:rFonts w:hint="eastAsia" w:ascii="宋体" w:hAnsi="宋体"/>
          <w:sz w:val="24"/>
          <w:szCs w:val="24"/>
        </w:rPr>
      </w:pPr>
    </w:p>
    <w:p w14:paraId="6E5B9247">
      <w:pPr>
        <w:spacing w:line="360" w:lineRule="auto"/>
        <w:ind w:firstLine="472" w:firstLineChars="196"/>
        <w:rPr>
          <w:b/>
          <w:sz w:val="24"/>
          <w:szCs w:val="24"/>
        </w:rPr>
      </w:pPr>
      <w:r>
        <w:rPr>
          <w:rFonts w:hint="eastAsia"/>
          <w:b/>
          <w:sz w:val="24"/>
          <w:szCs w:val="24"/>
        </w:rPr>
        <w:t>五、</w:t>
      </w:r>
      <w:r>
        <w:rPr>
          <w:b/>
          <w:sz w:val="24"/>
          <w:szCs w:val="24"/>
        </w:rPr>
        <w:t>本次现金管理事项对公司的影响</w:t>
      </w:r>
    </w:p>
    <w:p w14:paraId="4A00EDBD">
      <w:pPr>
        <w:spacing w:line="360" w:lineRule="auto"/>
        <w:ind w:firstLine="480" w:firstLineChars="200"/>
        <w:rPr>
          <w:rFonts w:hint="eastAsia" w:ascii="宋体" w:hAnsi="宋体"/>
          <w:sz w:val="24"/>
          <w:szCs w:val="24"/>
        </w:rPr>
      </w:pPr>
      <w:r>
        <w:rPr>
          <w:rFonts w:hint="eastAsia" w:ascii="宋体" w:hAnsi="宋体"/>
          <w:sz w:val="24"/>
          <w:szCs w:val="24"/>
        </w:rPr>
        <w:t>公司本次使用暂时闲置的募集资金进行现金管理，投资于安全性高、流动性好、风险性低、短期</w:t>
      </w:r>
      <w:r>
        <w:rPr>
          <w:rFonts w:ascii="宋体" w:hAnsi="宋体"/>
          <w:sz w:val="24"/>
          <w:szCs w:val="24"/>
        </w:rPr>
        <w:t>（不超过十二个月）的</w:t>
      </w:r>
      <w:r>
        <w:rPr>
          <w:rFonts w:hint="eastAsia" w:ascii="宋体" w:hAnsi="宋体"/>
          <w:sz w:val="24"/>
          <w:szCs w:val="24"/>
        </w:rPr>
        <w:t>理财产品，是在确保公司募投项目所需资金以及募集资金本金安全的前提下进行的，不会影响公司募集资金项目建设和主营业务的正常开展，不存在变相改变募集资金用途的情况，且能够有效提高资金使用效率，获得一定的投资效益，能进一步提升公司业绩水平，为公司和股东谋取更多的投资回报。</w:t>
      </w:r>
    </w:p>
    <w:p w14:paraId="67EF5BC9">
      <w:pPr>
        <w:spacing w:line="360" w:lineRule="auto"/>
        <w:ind w:firstLine="480" w:firstLineChars="200"/>
        <w:rPr>
          <w:rFonts w:hint="eastAsia" w:ascii="宋体" w:hAnsi="宋体"/>
          <w:sz w:val="24"/>
          <w:szCs w:val="24"/>
        </w:rPr>
      </w:pPr>
    </w:p>
    <w:p w14:paraId="42615463">
      <w:pPr>
        <w:spacing w:line="360" w:lineRule="auto"/>
        <w:ind w:firstLine="470" w:firstLineChars="195"/>
        <w:rPr>
          <w:b/>
          <w:sz w:val="24"/>
          <w:szCs w:val="24"/>
        </w:rPr>
      </w:pPr>
      <w:r>
        <w:rPr>
          <w:rFonts w:hint="eastAsia"/>
          <w:b/>
          <w:sz w:val="24"/>
          <w:szCs w:val="24"/>
        </w:rPr>
        <w:t>六、</w:t>
      </w:r>
      <w:r>
        <w:rPr>
          <w:b/>
          <w:sz w:val="24"/>
          <w:szCs w:val="24"/>
        </w:rPr>
        <w:t>履行的审</w:t>
      </w:r>
      <w:r>
        <w:rPr>
          <w:rFonts w:hint="eastAsia"/>
          <w:b/>
          <w:sz w:val="24"/>
          <w:szCs w:val="24"/>
        </w:rPr>
        <w:t>议</w:t>
      </w:r>
      <w:r>
        <w:rPr>
          <w:b/>
          <w:sz w:val="24"/>
          <w:szCs w:val="24"/>
        </w:rPr>
        <w:t>程序及相关意见</w:t>
      </w:r>
    </w:p>
    <w:p w14:paraId="7ED36B93">
      <w:pPr>
        <w:spacing w:line="360" w:lineRule="auto"/>
        <w:ind w:firstLine="480" w:firstLineChars="200"/>
        <w:rPr>
          <w:b/>
          <w:sz w:val="24"/>
          <w:szCs w:val="24"/>
        </w:rPr>
      </w:pPr>
      <w:r>
        <w:rPr>
          <w:rFonts w:hint="eastAsia"/>
          <w:bCs/>
          <w:sz w:val="24"/>
          <w:szCs w:val="24"/>
        </w:rPr>
        <w:t>（一）董事会审议情况</w:t>
      </w:r>
    </w:p>
    <w:p w14:paraId="02DBAFC7">
      <w:pPr>
        <w:spacing w:line="360" w:lineRule="auto"/>
        <w:ind w:firstLine="480" w:firstLineChars="200"/>
        <w:rPr>
          <w:rFonts w:hint="eastAsia" w:ascii="宋体" w:hAnsi="宋体" w:cs="宋体"/>
          <w:sz w:val="24"/>
          <w:szCs w:val="24"/>
        </w:rPr>
      </w:pPr>
      <w:r>
        <w:rPr>
          <w:rFonts w:hint="eastAsia" w:ascii="宋体" w:hAnsi="宋体" w:cs="宋体"/>
          <w:sz w:val="24"/>
          <w:szCs w:val="24"/>
        </w:rPr>
        <w:t>2025年</w:t>
      </w:r>
      <w:r>
        <w:rPr>
          <w:rFonts w:ascii="宋体" w:hAnsi="宋体" w:cs="宋体"/>
          <w:sz w:val="24"/>
          <w:szCs w:val="24"/>
        </w:rPr>
        <w:t>4</w:t>
      </w:r>
      <w:r>
        <w:rPr>
          <w:rFonts w:hint="eastAsia" w:ascii="宋体" w:hAnsi="宋体" w:cs="宋体"/>
          <w:sz w:val="24"/>
          <w:szCs w:val="24"/>
        </w:rPr>
        <w:t>月18日，公司第五届董事会第八次会议审议通过了《关于使用暂时闲置募集资金进行现金管理的议案》。为进一步提高募集资金使用效率，董事会同意公司（含子公司）在确保不影响募集资金项目建设和募集资金使用的情况下，使用暂时闲置募集资金进行现金管理</w:t>
      </w:r>
      <w:r>
        <w:rPr>
          <w:rFonts w:hint="eastAsia"/>
          <w:sz w:val="24"/>
          <w:szCs w:val="24"/>
        </w:rPr>
        <w:t>。</w:t>
      </w:r>
    </w:p>
    <w:p w14:paraId="59B2F37F">
      <w:pPr>
        <w:spacing w:line="360" w:lineRule="auto"/>
        <w:ind w:firstLine="480" w:firstLineChars="200"/>
        <w:rPr>
          <w:bCs/>
          <w:sz w:val="24"/>
          <w:szCs w:val="24"/>
        </w:rPr>
      </w:pPr>
      <w:r>
        <w:rPr>
          <w:rFonts w:hint="eastAsia"/>
          <w:bCs/>
          <w:sz w:val="24"/>
          <w:szCs w:val="24"/>
        </w:rPr>
        <w:t>（二）监事会审议情况</w:t>
      </w:r>
    </w:p>
    <w:p w14:paraId="53321B1B">
      <w:p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rPr>
        <w:t>2025年</w:t>
      </w:r>
      <w:r>
        <w:rPr>
          <w:rFonts w:ascii="宋体" w:hAnsi="宋体" w:cs="宋体"/>
          <w:bCs/>
          <w:sz w:val="24"/>
          <w:szCs w:val="24"/>
        </w:rPr>
        <w:t>4</w:t>
      </w:r>
      <w:r>
        <w:rPr>
          <w:rFonts w:hint="eastAsia" w:ascii="宋体" w:hAnsi="宋体" w:cs="宋体"/>
          <w:bCs/>
          <w:sz w:val="24"/>
          <w:szCs w:val="24"/>
        </w:rPr>
        <w:t>月18日，公司第五届</w:t>
      </w:r>
      <w:r>
        <w:rPr>
          <w:rFonts w:hint="eastAsia" w:ascii="宋体" w:hAnsi="宋体" w:cs="宋体"/>
          <w:sz w:val="24"/>
          <w:szCs w:val="24"/>
        </w:rPr>
        <w:t>监事会第八次会议审议通过了《关于使用暂时闲置募集资金进行现金管理的议案》。经审议，监事会认为：</w:t>
      </w:r>
      <w:r>
        <w:rPr>
          <w:rFonts w:hint="eastAsia" w:asciiTheme="minorEastAsia" w:hAnsiTheme="minorEastAsia"/>
          <w:sz w:val="24"/>
        </w:rPr>
        <w:t>公司本次使用暂时闲置募集资金进行现金管理，有利于提高公司闲置募集资金使用效率，有利于提高现金的管理收益，没有与募投项目的实施计划相抵触，不影响募集资金投资项目的正常进行，不存在变相改变募集资金投向和损害股东利益的情况</w:t>
      </w:r>
      <w:r>
        <w:rPr>
          <w:rFonts w:hint="eastAsia" w:ascii="宋体" w:hAnsi="宋体" w:cs="宋体"/>
          <w:sz w:val="24"/>
          <w:szCs w:val="24"/>
        </w:rPr>
        <w:t>。</w:t>
      </w:r>
    </w:p>
    <w:p w14:paraId="661CD6D9">
      <w:pPr>
        <w:spacing w:line="360" w:lineRule="auto"/>
        <w:ind w:firstLine="480" w:firstLineChars="200"/>
        <w:rPr>
          <w:bCs/>
          <w:sz w:val="24"/>
          <w:szCs w:val="24"/>
          <w:highlight w:val="none"/>
        </w:rPr>
      </w:pPr>
      <w:r>
        <w:rPr>
          <w:rFonts w:hint="eastAsia"/>
          <w:bCs/>
          <w:sz w:val="24"/>
          <w:szCs w:val="24"/>
          <w:highlight w:val="none"/>
        </w:rPr>
        <w:t>（三）保荐人核查意见</w:t>
      </w:r>
    </w:p>
    <w:p w14:paraId="50526D82">
      <w:pPr>
        <w:spacing w:line="360" w:lineRule="auto"/>
        <w:ind w:firstLine="480" w:firstLineChars="200"/>
        <w:rPr>
          <w:bCs/>
          <w:sz w:val="24"/>
          <w:szCs w:val="24"/>
          <w:highlight w:val="none"/>
        </w:rPr>
      </w:pPr>
      <w:r>
        <w:rPr>
          <w:rFonts w:hint="eastAsia"/>
          <w:bCs/>
          <w:sz w:val="24"/>
          <w:szCs w:val="24"/>
          <w:highlight w:val="none"/>
        </w:rPr>
        <w:t>经核查，保荐人认为：</w:t>
      </w:r>
    </w:p>
    <w:p w14:paraId="1420D97F">
      <w:pPr>
        <w:overflowPunct w:val="0"/>
        <w:spacing w:before="0" w:beforeLines="-2147483648" w:after="0" w:afterLines="-2147483648" w:line="360" w:lineRule="auto"/>
        <w:ind w:firstLine="480" w:firstLineChars="200"/>
        <w:rPr>
          <w:sz w:val="24"/>
          <w:highlight w:val="none"/>
        </w:rPr>
      </w:pPr>
      <w:r>
        <w:rPr>
          <w:rFonts w:hint="eastAsia"/>
          <w:sz w:val="24"/>
          <w:highlight w:val="none"/>
        </w:rPr>
        <w:t>本次公司使用部分闲置募集资金进行现金管理的相关事项已经</w:t>
      </w:r>
      <w:r>
        <w:rPr>
          <w:rFonts w:hint="eastAsia"/>
          <w:sz w:val="24"/>
          <w:szCs w:val="28"/>
          <w:highlight w:val="none"/>
        </w:rPr>
        <w:t>第五届董事会第八次会议和第五届监事会第八次会议</w:t>
      </w:r>
      <w:r>
        <w:rPr>
          <w:rFonts w:hint="eastAsia"/>
          <w:sz w:val="24"/>
          <w:highlight w:val="none"/>
        </w:rPr>
        <w:t>审议通过，履行了必要的法律程序。公司本次使用部分闲置募集资金进行现金管理的计划符合《深圳证券交易所股票上市规则》《深圳证券交易所上市公司自律监管指引第1号——主板上市公司规范运作》等有关规定，不会影响募集资金投资项目的正常实施，也不存在变相改变募集资金投向、损害股东利益的情形。</w:t>
      </w:r>
    </w:p>
    <w:p w14:paraId="589C59A5">
      <w:pPr>
        <w:spacing w:line="360" w:lineRule="auto"/>
        <w:ind w:firstLine="480" w:firstLineChars="200"/>
        <w:rPr>
          <w:sz w:val="24"/>
          <w:highlight w:val="none"/>
        </w:rPr>
      </w:pPr>
      <w:r>
        <w:rPr>
          <w:rFonts w:hint="eastAsia"/>
          <w:sz w:val="24"/>
          <w:highlight w:val="none"/>
        </w:rPr>
        <w:t>综上，保荐人对公司使用暂时闲置募集资金进行现金管理事项无异议。</w:t>
      </w:r>
    </w:p>
    <w:p w14:paraId="18EC1A3B">
      <w:pPr>
        <w:spacing w:line="360" w:lineRule="auto"/>
        <w:ind w:firstLine="480" w:firstLineChars="200"/>
        <w:rPr>
          <w:sz w:val="24"/>
          <w:highlight w:val="none"/>
        </w:rPr>
      </w:pPr>
    </w:p>
    <w:p w14:paraId="7F053DDE">
      <w:pPr>
        <w:spacing w:line="360" w:lineRule="auto"/>
        <w:ind w:firstLine="470" w:firstLineChars="195"/>
        <w:rPr>
          <w:b/>
          <w:sz w:val="24"/>
          <w:szCs w:val="24"/>
          <w:highlight w:val="none"/>
        </w:rPr>
      </w:pPr>
      <w:r>
        <w:rPr>
          <w:rFonts w:hint="eastAsia"/>
          <w:b/>
          <w:sz w:val="24"/>
          <w:szCs w:val="24"/>
          <w:highlight w:val="none"/>
          <w:lang w:val="en-US" w:eastAsia="zh-CN"/>
        </w:rPr>
        <w:t>七</w:t>
      </w:r>
      <w:r>
        <w:rPr>
          <w:b/>
          <w:sz w:val="24"/>
          <w:szCs w:val="24"/>
          <w:highlight w:val="none"/>
        </w:rPr>
        <w:t>、备查文件</w:t>
      </w:r>
      <w:r>
        <w:rPr>
          <w:rFonts w:hint="eastAsia"/>
          <w:b/>
          <w:sz w:val="24"/>
          <w:szCs w:val="24"/>
          <w:highlight w:val="none"/>
        </w:rPr>
        <w:t>：</w:t>
      </w:r>
      <w:r>
        <w:rPr>
          <w:b/>
          <w:sz w:val="24"/>
          <w:szCs w:val="24"/>
          <w:highlight w:val="none"/>
        </w:rPr>
        <w:t xml:space="preserve"> </w:t>
      </w:r>
    </w:p>
    <w:p w14:paraId="7E1307EF">
      <w:pPr>
        <w:spacing w:line="360" w:lineRule="auto"/>
        <w:ind w:firstLine="480" w:firstLineChars="200"/>
        <w:rPr>
          <w:sz w:val="24"/>
          <w:szCs w:val="24"/>
          <w:highlight w:val="none"/>
        </w:rPr>
      </w:pPr>
      <w:r>
        <w:rPr>
          <w:sz w:val="24"/>
          <w:szCs w:val="24"/>
          <w:highlight w:val="none"/>
        </w:rPr>
        <w:t>1、</w:t>
      </w:r>
      <w:r>
        <w:rPr>
          <w:rFonts w:hint="eastAsia"/>
          <w:sz w:val="24"/>
          <w:szCs w:val="24"/>
          <w:highlight w:val="none"/>
        </w:rPr>
        <w:t>公司第五届董事会第八次会议决议；</w:t>
      </w:r>
    </w:p>
    <w:p w14:paraId="0D94D773">
      <w:pPr>
        <w:spacing w:line="360" w:lineRule="auto"/>
        <w:ind w:firstLine="480" w:firstLineChars="200"/>
        <w:rPr>
          <w:sz w:val="24"/>
          <w:szCs w:val="24"/>
          <w:highlight w:val="none"/>
        </w:rPr>
      </w:pPr>
      <w:r>
        <w:rPr>
          <w:sz w:val="24"/>
          <w:szCs w:val="24"/>
          <w:highlight w:val="none"/>
        </w:rPr>
        <w:t>2、</w:t>
      </w:r>
      <w:r>
        <w:rPr>
          <w:rFonts w:hint="eastAsia"/>
          <w:sz w:val="24"/>
          <w:szCs w:val="24"/>
          <w:highlight w:val="none"/>
        </w:rPr>
        <w:t>公司第五届监事会第八次会议决议；</w:t>
      </w:r>
    </w:p>
    <w:p w14:paraId="516586E2">
      <w:pPr>
        <w:spacing w:line="360" w:lineRule="auto"/>
        <w:ind w:firstLine="480" w:firstLineChars="200"/>
        <w:rPr>
          <w:sz w:val="24"/>
          <w:szCs w:val="24"/>
          <w:highlight w:val="none"/>
        </w:rPr>
      </w:pPr>
      <w:r>
        <w:rPr>
          <w:rFonts w:hint="eastAsia"/>
          <w:sz w:val="24"/>
          <w:szCs w:val="24"/>
          <w:highlight w:val="none"/>
        </w:rPr>
        <w:t>3、国泰海通证券股份有限公司关于东莞铭普光磁股份有限公司使用暂时闲置募集资金进行现金管理的核查意见。</w:t>
      </w:r>
    </w:p>
    <w:p w14:paraId="3E1CBECE">
      <w:pPr>
        <w:spacing w:line="360" w:lineRule="auto"/>
        <w:ind w:firstLine="480" w:firstLineChars="200"/>
        <w:rPr>
          <w:sz w:val="24"/>
          <w:szCs w:val="24"/>
          <w:highlight w:val="none"/>
        </w:rPr>
      </w:pPr>
    </w:p>
    <w:p w14:paraId="74B86E55">
      <w:pPr>
        <w:spacing w:line="360" w:lineRule="auto"/>
        <w:ind w:firstLine="480" w:firstLineChars="200"/>
        <w:rPr>
          <w:sz w:val="24"/>
          <w:szCs w:val="24"/>
          <w:highlight w:val="none"/>
        </w:rPr>
      </w:pPr>
      <w:r>
        <w:rPr>
          <w:sz w:val="24"/>
          <w:szCs w:val="24"/>
          <w:highlight w:val="none"/>
        </w:rPr>
        <w:t>特此公告。</w:t>
      </w:r>
    </w:p>
    <w:p w14:paraId="0FF22DF9">
      <w:pPr>
        <w:spacing w:line="360" w:lineRule="auto"/>
        <w:ind w:firstLine="480" w:firstLineChars="200"/>
        <w:rPr>
          <w:sz w:val="24"/>
          <w:szCs w:val="24"/>
          <w:highlight w:val="none"/>
        </w:rPr>
      </w:pPr>
    </w:p>
    <w:p w14:paraId="1923F339">
      <w:pPr>
        <w:spacing w:line="360" w:lineRule="auto"/>
        <w:ind w:firstLine="480" w:firstLineChars="200"/>
        <w:rPr>
          <w:sz w:val="24"/>
          <w:szCs w:val="24"/>
          <w:highlight w:val="none"/>
        </w:rPr>
      </w:pPr>
    </w:p>
    <w:p w14:paraId="754D39E6">
      <w:pPr>
        <w:spacing w:line="360" w:lineRule="auto"/>
        <w:ind w:firstLine="5301" w:firstLineChars="2200"/>
        <w:contextualSpacing/>
        <w:rPr>
          <w:rFonts w:hint="eastAsia" w:ascii="宋体" w:hAnsi="宋体"/>
          <w:b/>
          <w:sz w:val="24"/>
          <w:szCs w:val="24"/>
          <w:highlight w:val="none"/>
        </w:rPr>
      </w:pPr>
      <w:r>
        <w:rPr>
          <w:rFonts w:hint="eastAsia" w:ascii="宋体" w:hAnsi="宋体"/>
          <w:b/>
          <w:sz w:val="24"/>
          <w:szCs w:val="24"/>
          <w:highlight w:val="none"/>
        </w:rPr>
        <w:t>东莞铭普光磁股份有限公司</w:t>
      </w:r>
    </w:p>
    <w:p w14:paraId="3DEBBAB8">
      <w:pPr>
        <w:spacing w:line="360" w:lineRule="auto"/>
        <w:contextualSpacing/>
        <w:rPr>
          <w:rFonts w:hint="eastAsia" w:ascii="宋体" w:hAnsi="宋体"/>
          <w:b/>
          <w:sz w:val="24"/>
          <w:szCs w:val="24"/>
          <w:highlight w:val="none"/>
        </w:rPr>
      </w:pPr>
      <w:r>
        <w:rPr>
          <w:rFonts w:hint="eastAsia" w:ascii="宋体" w:hAnsi="宋体"/>
          <w:b/>
          <w:sz w:val="24"/>
          <w:szCs w:val="24"/>
          <w:highlight w:val="none"/>
        </w:rPr>
        <w:t xml:space="preserve">                                                      </w:t>
      </w:r>
      <w:r>
        <w:rPr>
          <w:rFonts w:ascii="宋体" w:hAnsi="宋体"/>
          <w:b/>
          <w:sz w:val="24"/>
          <w:szCs w:val="24"/>
          <w:highlight w:val="none"/>
        </w:rPr>
        <w:t xml:space="preserve">董 事 会 </w:t>
      </w:r>
    </w:p>
    <w:p w14:paraId="1F684BCC">
      <w:pPr>
        <w:spacing w:line="360" w:lineRule="auto"/>
        <w:ind w:firstLine="5903" w:firstLineChars="2450"/>
        <w:contextualSpacing/>
        <w:rPr>
          <w:rFonts w:hint="eastAsia" w:ascii="宋体" w:hAnsi="宋体"/>
          <w:b/>
          <w:sz w:val="24"/>
          <w:szCs w:val="24"/>
        </w:rPr>
      </w:pPr>
      <w:r>
        <w:rPr>
          <w:rFonts w:ascii="宋体" w:hAnsi="宋体"/>
          <w:b/>
          <w:sz w:val="24"/>
          <w:szCs w:val="24"/>
          <w:highlight w:val="none"/>
        </w:rPr>
        <w:t>20</w:t>
      </w:r>
      <w:r>
        <w:rPr>
          <w:rFonts w:hint="eastAsia" w:ascii="宋体" w:hAnsi="宋体"/>
          <w:b/>
          <w:sz w:val="24"/>
          <w:szCs w:val="24"/>
          <w:highlight w:val="none"/>
        </w:rPr>
        <w:t>2</w:t>
      </w:r>
      <w:r>
        <w:rPr>
          <w:rFonts w:hint="eastAsia" w:ascii="宋体" w:hAnsi="宋体"/>
          <w:b/>
          <w:sz w:val="24"/>
          <w:szCs w:val="24"/>
        </w:rPr>
        <w:t>5</w:t>
      </w:r>
      <w:r>
        <w:rPr>
          <w:rFonts w:ascii="宋体" w:hAnsi="宋体"/>
          <w:b/>
          <w:sz w:val="24"/>
          <w:szCs w:val="24"/>
        </w:rPr>
        <w:t>年4月</w:t>
      </w:r>
      <w:r>
        <w:rPr>
          <w:rFonts w:hint="eastAsia" w:ascii="宋体" w:hAnsi="宋体"/>
          <w:b/>
          <w:sz w:val="24"/>
          <w:szCs w:val="24"/>
        </w:rPr>
        <w:t>22</w:t>
      </w:r>
      <w:r>
        <w:rPr>
          <w:rFonts w:ascii="宋体" w:hAnsi="宋体"/>
          <w:b/>
          <w:sz w:val="24"/>
          <w:szCs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081A">
    <w:pPr>
      <w:pStyle w:val="4"/>
      <w:jc w:val="center"/>
    </w:pPr>
    <w:r>
      <w:fldChar w:fldCharType="begin"/>
    </w:r>
    <w:r>
      <w:instrText xml:space="preserve">PAGE   \* MERGEFORMAT</w:instrText>
    </w:r>
    <w:r>
      <w:fldChar w:fldCharType="separate"/>
    </w:r>
    <w:r>
      <w:rPr>
        <w:lang w:val="zh-CN"/>
      </w:rPr>
      <w:t>1</w:t>
    </w:r>
    <w:r>
      <w:fldChar w:fldCharType="end"/>
    </w:r>
  </w:p>
  <w:p w14:paraId="4FF7799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81DE0"/>
    <w:multiLevelType w:val="singleLevel"/>
    <w:tmpl w:val="0A181D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YTg3NWQwNjJjNTRlMjI0NzU4YzM5YWIyMDkxZjYifQ=="/>
  </w:docVars>
  <w:rsids>
    <w:rsidRoot w:val="00B35063"/>
    <w:rsid w:val="00021198"/>
    <w:rsid w:val="00033212"/>
    <w:rsid w:val="0004275C"/>
    <w:rsid w:val="00073AC2"/>
    <w:rsid w:val="00081FA8"/>
    <w:rsid w:val="00090476"/>
    <w:rsid w:val="00095A3E"/>
    <w:rsid w:val="000A61D6"/>
    <w:rsid w:val="000B56C1"/>
    <w:rsid w:val="000E6E52"/>
    <w:rsid w:val="000F57D0"/>
    <w:rsid w:val="001120FD"/>
    <w:rsid w:val="00121E27"/>
    <w:rsid w:val="00141488"/>
    <w:rsid w:val="0016397D"/>
    <w:rsid w:val="00166FB7"/>
    <w:rsid w:val="00190276"/>
    <w:rsid w:val="001B1EA8"/>
    <w:rsid w:val="002474C7"/>
    <w:rsid w:val="00251CE2"/>
    <w:rsid w:val="002719E9"/>
    <w:rsid w:val="0027206D"/>
    <w:rsid w:val="002749CC"/>
    <w:rsid w:val="00294FC3"/>
    <w:rsid w:val="002B4808"/>
    <w:rsid w:val="002B4F24"/>
    <w:rsid w:val="002D009B"/>
    <w:rsid w:val="002F4DAA"/>
    <w:rsid w:val="002F57B7"/>
    <w:rsid w:val="002F6081"/>
    <w:rsid w:val="003270B4"/>
    <w:rsid w:val="00351126"/>
    <w:rsid w:val="00370E69"/>
    <w:rsid w:val="00373913"/>
    <w:rsid w:val="00391F60"/>
    <w:rsid w:val="00397673"/>
    <w:rsid w:val="003B086F"/>
    <w:rsid w:val="003B2791"/>
    <w:rsid w:val="003C143C"/>
    <w:rsid w:val="00400539"/>
    <w:rsid w:val="0040310F"/>
    <w:rsid w:val="00450D78"/>
    <w:rsid w:val="00461A12"/>
    <w:rsid w:val="00466603"/>
    <w:rsid w:val="00493582"/>
    <w:rsid w:val="004A6B3A"/>
    <w:rsid w:val="004C6EDB"/>
    <w:rsid w:val="004E14AB"/>
    <w:rsid w:val="0055221F"/>
    <w:rsid w:val="00580A32"/>
    <w:rsid w:val="005C012C"/>
    <w:rsid w:val="005F42F8"/>
    <w:rsid w:val="00644B5E"/>
    <w:rsid w:val="0068352E"/>
    <w:rsid w:val="006A7202"/>
    <w:rsid w:val="006C3151"/>
    <w:rsid w:val="006E642D"/>
    <w:rsid w:val="007039D9"/>
    <w:rsid w:val="00703DA5"/>
    <w:rsid w:val="00734EBF"/>
    <w:rsid w:val="007449E4"/>
    <w:rsid w:val="00757615"/>
    <w:rsid w:val="007642AD"/>
    <w:rsid w:val="00774BED"/>
    <w:rsid w:val="007770BD"/>
    <w:rsid w:val="007A25C4"/>
    <w:rsid w:val="007D59D8"/>
    <w:rsid w:val="00801D21"/>
    <w:rsid w:val="008114EF"/>
    <w:rsid w:val="0081375D"/>
    <w:rsid w:val="00815BFC"/>
    <w:rsid w:val="00824E77"/>
    <w:rsid w:val="00862B46"/>
    <w:rsid w:val="00866513"/>
    <w:rsid w:val="00874B82"/>
    <w:rsid w:val="00877B63"/>
    <w:rsid w:val="0089633A"/>
    <w:rsid w:val="008B5119"/>
    <w:rsid w:val="008B6C4E"/>
    <w:rsid w:val="008C7E97"/>
    <w:rsid w:val="008F5063"/>
    <w:rsid w:val="00943909"/>
    <w:rsid w:val="0098360D"/>
    <w:rsid w:val="009878FF"/>
    <w:rsid w:val="009A2D78"/>
    <w:rsid w:val="009A3BAF"/>
    <w:rsid w:val="009B1983"/>
    <w:rsid w:val="009B4CC0"/>
    <w:rsid w:val="009E296A"/>
    <w:rsid w:val="00A00C6B"/>
    <w:rsid w:val="00A13FFC"/>
    <w:rsid w:val="00A302D5"/>
    <w:rsid w:val="00A57B15"/>
    <w:rsid w:val="00AA1BC5"/>
    <w:rsid w:val="00AB01AA"/>
    <w:rsid w:val="00AC4286"/>
    <w:rsid w:val="00B11744"/>
    <w:rsid w:val="00B31814"/>
    <w:rsid w:val="00B35063"/>
    <w:rsid w:val="00B42239"/>
    <w:rsid w:val="00B738E9"/>
    <w:rsid w:val="00B94BE8"/>
    <w:rsid w:val="00B96ED0"/>
    <w:rsid w:val="00BE1C66"/>
    <w:rsid w:val="00BE666D"/>
    <w:rsid w:val="00C1226C"/>
    <w:rsid w:val="00C56E31"/>
    <w:rsid w:val="00C67CCF"/>
    <w:rsid w:val="00C97511"/>
    <w:rsid w:val="00CA42F8"/>
    <w:rsid w:val="00CB476F"/>
    <w:rsid w:val="00CB7DD7"/>
    <w:rsid w:val="00CD0187"/>
    <w:rsid w:val="00CE0C3C"/>
    <w:rsid w:val="00CE2955"/>
    <w:rsid w:val="00CE6DFF"/>
    <w:rsid w:val="00D25D4B"/>
    <w:rsid w:val="00D478FC"/>
    <w:rsid w:val="00D84C35"/>
    <w:rsid w:val="00DA01C6"/>
    <w:rsid w:val="00DA2603"/>
    <w:rsid w:val="00DB39A3"/>
    <w:rsid w:val="00DD4532"/>
    <w:rsid w:val="00DD63C4"/>
    <w:rsid w:val="00DE10D5"/>
    <w:rsid w:val="00E5473D"/>
    <w:rsid w:val="00E73254"/>
    <w:rsid w:val="00E87D9C"/>
    <w:rsid w:val="00E96401"/>
    <w:rsid w:val="00EB2BA4"/>
    <w:rsid w:val="00EC74C3"/>
    <w:rsid w:val="00EF254D"/>
    <w:rsid w:val="00F02F76"/>
    <w:rsid w:val="00F2566E"/>
    <w:rsid w:val="00F4125D"/>
    <w:rsid w:val="00F71607"/>
    <w:rsid w:val="00F77349"/>
    <w:rsid w:val="00F83EB1"/>
    <w:rsid w:val="00F959D3"/>
    <w:rsid w:val="00FA6F12"/>
    <w:rsid w:val="00FB021E"/>
    <w:rsid w:val="00FB450D"/>
    <w:rsid w:val="00FD2CA5"/>
    <w:rsid w:val="00FE0081"/>
    <w:rsid w:val="00FE168F"/>
    <w:rsid w:val="00FE3268"/>
    <w:rsid w:val="00FE49F3"/>
    <w:rsid w:val="00FE7FC0"/>
    <w:rsid w:val="00FF16AF"/>
    <w:rsid w:val="02696BC5"/>
    <w:rsid w:val="02BC2A15"/>
    <w:rsid w:val="038827C1"/>
    <w:rsid w:val="04F14F63"/>
    <w:rsid w:val="0AAC5F53"/>
    <w:rsid w:val="0D32033C"/>
    <w:rsid w:val="129A7FB4"/>
    <w:rsid w:val="1C12182B"/>
    <w:rsid w:val="1D0D6492"/>
    <w:rsid w:val="23DE364E"/>
    <w:rsid w:val="3A7A7962"/>
    <w:rsid w:val="3A9D26EB"/>
    <w:rsid w:val="3DF06552"/>
    <w:rsid w:val="40927A6A"/>
    <w:rsid w:val="41D20DAA"/>
    <w:rsid w:val="4BA35098"/>
    <w:rsid w:val="4C0F39B2"/>
    <w:rsid w:val="50FC3183"/>
    <w:rsid w:val="51A907B2"/>
    <w:rsid w:val="57344517"/>
    <w:rsid w:val="59467CDE"/>
    <w:rsid w:val="5A1C7DEF"/>
    <w:rsid w:val="63C85C18"/>
    <w:rsid w:val="6800366A"/>
    <w:rsid w:val="69297FE6"/>
    <w:rsid w:val="7996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2"/>
    </w:rPr>
  </w:style>
  <w:style w:type="character" w:customStyle="1" w:styleId="12">
    <w:name w:val="批注框文本 字符"/>
    <w:link w:val="3"/>
    <w:autoRedefine/>
    <w:semiHidden/>
    <w:qFormat/>
    <w:uiPriority w:val="99"/>
    <w:rPr>
      <w:sz w:val="18"/>
      <w:szCs w:val="18"/>
    </w:rPr>
  </w:style>
  <w:style w:type="character" w:customStyle="1" w:styleId="13">
    <w:name w:val="页脚 字符"/>
    <w:link w:val="4"/>
    <w:qFormat/>
    <w:uiPriority w:val="99"/>
    <w:rPr>
      <w:sz w:val="18"/>
      <w:szCs w:val="18"/>
    </w:rPr>
  </w:style>
  <w:style w:type="character" w:customStyle="1" w:styleId="14">
    <w:name w:val="页眉 字符"/>
    <w:link w:val="5"/>
    <w:autoRedefine/>
    <w:qFormat/>
    <w:uiPriority w:val="99"/>
    <w:rPr>
      <w:sz w:val="18"/>
      <w:szCs w:val="18"/>
    </w:rPr>
  </w:style>
  <w:style w:type="character" w:customStyle="1" w:styleId="15">
    <w:name w:val="批注主题 字符"/>
    <w:link w:val="6"/>
    <w:autoRedefine/>
    <w:semiHidden/>
    <w:qFormat/>
    <w:uiPriority w:val="99"/>
    <w:rPr>
      <w:b/>
      <w:bCs/>
      <w:kern w:val="2"/>
      <w:sz w:val="21"/>
      <w:szCs w:val="22"/>
    </w:rPr>
  </w:style>
  <w:style w:type="paragraph" w:styleId="16">
    <w:name w:val="List Paragraph"/>
    <w:basedOn w:val="1"/>
    <w:autoRedefine/>
    <w:qFormat/>
    <w:uiPriority w:val="34"/>
    <w:pPr>
      <w:ind w:firstLine="420" w:firstLineChars="200"/>
    </w:pPr>
  </w:style>
  <w:style w:type="paragraph" w:customStyle="1" w:styleId="17">
    <w:name w:val="Default"/>
    <w:autoRedefine/>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002表格字体"/>
    <w:basedOn w:val="1"/>
    <w:autoRedefine/>
    <w:qFormat/>
    <w:uiPriority w:val="0"/>
    <w:pPr>
      <w:adjustRightInd w:val="0"/>
      <w:snapToGrid w:val="0"/>
      <w:jc w:val="right"/>
    </w:pPr>
    <w:rPr>
      <w:bCs/>
      <w:szCs w:val="28"/>
      <w:lang w:val="zh-CN"/>
    </w:rPr>
  </w:style>
  <w:style w:type="character" w:customStyle="1" w:styleId="19">
    <w:name w:val="font11"/>
    <w:autoRedefine/>
    <w:qFormat/>
    <w:uiPriority w:val="0"/>
    <w:rPr>
      <w:rFonts w:hint="eastAsia" w:ascii="宋体" w:hAnsi="宋体" w:eastAsia="宋体" w:cs="宋体"/>
      <w:b/>
      <w:bCs/>
      <w:color w:val="000000"/>
      <w:sz w:val="21"/>
      <w:szCs w:val="21"/>
      <w:u w:val="none"/>
    </w:rPr>
  </w:style>
  <w:style w:type="character" w:customStyle="1" w:styleId="20">
    <w:name w:val="font31"/>
    <w:autoRedefine/>
    <w:qFormat/>
    <w:uiPriority w:val="0"/>
    <w:rPr>
      <w:rFonts w:hint="eastAsia" w:ascii="宋体" w:hAnsi="宋体" w:eastAsia="宋体" w:cs="宋体"/>
      <w:color w:val="000000"/>
      <w:sz w:val="21"/>
      <w:szCs w:val="21"/>
      <w:u w:val="none"/>
    </w:rPr>
  </w:style>
  <w:style w:type="character" w:customStyle="1" w:styleId="21">
    <w:name w:val="font21"/>
    <w:autoRedefine/>
    <w:qFormat/>
    <w:uiPriority w:val="0"/>
    <w:rPr>
      <w:rFonts w:hint="default" w:ascii="Times New Roman" w:hAnsi="Times New Roman" w:cs="Times New Roman"/>
      <w:color w:val="000000"/>
      <w:sz w:val="21"/>
      <w:szCs w:val="21"/>
      <w:u w:val="none"/>
    </w:rPr>
  </w:style>
  <w:style w:type="paragraph" w:customStyle="1" w:styleId="22">
    <w:name w:val="欣锐科技005正文"/>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3058</Words>
  <Characters>3490</Characters>
  <Lines>45</Lines>
  <Paragraphs>133</Paragraphs>
  <TotalTime>3</TotalTime>
  <ScaleCrop>false</ScaleCrop>
  <LinksUpToDate>false</LinksUpToDate>
  <CharactersWithSpaces>3574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2024-03-20T09:29:00Z</dcterms:created>
  <dc:creator>微软用户</dc:creator>
  <cp:lastModifiedBy>WPS_477959835</cp:lastModifiedBy>
  <cp:lastPrinted>2024-04-28T05:02:00Z</cp:lastPrinted>
  <dcterms:modified xsi:type="dcterms:W3CDTF">2025-04-21T09:07:41Z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4659560BC8574A15B1A937EE42769D18_12</vt:lpwstr>
  </property>
  <property fmtid="{D5CDD505-2E9C-101B-9397-08002B2CF9AE}" pid="4" name="KSOTemplateDocerSaveRecord">
    <vt:lpwstr>eyJoZGlkIjoiODlhYmE1MzQ4NzRlYjUyNWI2Yzc4ZTAxNzZhZWFmNTciLCJ1c2VySWQiOiI0Nzc5NTk4MzUifQ==</vt:lpwstr>
  </property>
</Properties>
</file>